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13B4" w:rsidP="00B913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CPPFES2027 Inspect, test and maintain non-gaseous pre-engineered fire-suppression systems</w:t>
      </w:r>
      <w:r>
        <w:fldChar w:fldCharType="end"/>
      </w:r>
    </w:p>
    <w:p w:rsidR="00B913B4" w:rsidP="00B913B4">
      <w:pPr>
        <w:pStyle w:val="Version"/>
        <w:sectPr w:rsidSect="00F06F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6F0B" w:rsidP="00F06F0B">
      <w:pPr>
        <w:pStyle w:val="SuperHeading"/>
      </w:pPr>
      <w:r w:rsidRPr="00F06F0B">
        <w:t>Assessment Requirements for CPPFES2027 Inspect, test and maintain non-gaseous pre-engineered fire-suppression systems</w:t>
      </w:r>
    </w:p>
    <w:p w:rsidR="00000000" w:rsidRPr="00F06F0B" w:rsidP="00F06F0B">
      <w:pPr>
        <w:pStyle w:val="Heading1"/>
      </w:pPr>
      <w:bookmarkStart w:id="1" w:name="O_1163502"/>
      <w:bookmarkEnd w:id="1"/>
      <w:r w:rsidRPr="00F06F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05"/>
        <w:gridCol w:w="7597"/>
      </w:tblGrid>
      <w:tr w:rsidTr="00F06F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0B">
            <w:pPr>
              <w:pStyle w:val="BodyText"/>
              <w:rPr>
                <w:lang w:val="en-NZ"/>
              </w:rPr>
            </w:pPr>
            <w:r w:rsidRPr="00F06F0B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F0B" w:rsidP="00F06F0B">
            <w:pPr>
              <w:pStyle w:val="BodyText"/>
            </w:pPr>
            <w:r w:rsidRPr="00F06F0B">
              <w:t>This version first released with CPP Property Services Training Package Release 13.0.</w:t>
            </w:r>
          </w:p>
          <w:p w:rsidR="00000000" w:rsidRPr="00F06F0B" w:rsidP="00F06F0B">
            <w:pPr>
              <w:pStyle w:val="BodyText"/>
            </w:pPr>
            <w:r w:rsidRPr="00F06F0B">
              <w:t>Supersedes and is equivalent to CPPFES2027A Inspect, test and maintain non-gaseous pre-engineered fire-suppression systems.  Unit updated to meet the Standards for Training Packages 2012.</w:t>
            </w:r>
          </w:p>
        </w:tc>
      </w:tr>
    </w:tbl>
    <w:p w:rsidR="00000000" w:rsidRPr="00F06F0B" w:rsidP="00F06F0B">
      <w:pPr>
        <w:pStyle w:val="BodyText"/>
      </w:pPr>
    </w:p>
    <w:p w:rsidR="00000000" w:rsidRPr="00F06F0B" w:rsidP="00F06F0B">
      <w:pPr>
        <w:pStyle w:val="AllowPageBreak"/>
      </w:pPr>
    </w:p>
    <w:p w:rsidR="00000000" w:rsidRPr="00F06F0B" w:rsidP="00F06F0B">
      <w:pPr>
        <w:pStyle w:val="Heading1"/>
      </w:pPr>
      <w:bookmarkStart w:id="2" w:name="O_1163505"/>
      <w:bookmarkEnd w:id="2"/>
      <w:r w:rsidRPr="00F06F0B">
        <w:t>Performance Evidence</w:t>
      </w:r>
    </w:p>
    <w:p w:rsidR="00000000" w:rsidRPr="00F06F0B" w:rsidP="00B913B4">
      <w:pPr>
        <w:pStyle w:val="BodyText"/>
      </w:pPr>
      <w:r w:rsidRPr="00F06F0B">
        <w:t>To demonstrate competency,</w:t>
      </w:r>
      <w:r w:rsidRPr="00F06F0B">
        <w:t xml:space="preserve"> a candidate must meet the elements and performance criteria of this unit by:</w:t>
      </w:r>
    </w:p>
    <w:p w:rsidR="00000000" w:rsidRPr="00F06F0B" w:rsidP="00F06F0B">
      <w:pPr>
        <w:pStyle w:val="ListBullet"/>
      </w:pPr>
      <w:r w:rsidRPr="00F06F0B">
        <w:t>inspecting, testing and maintaining two non-gaseous pre-engineered fire-suppression systems installed in different locations and using different extinguishing agents</w:t>
      </w:r>
    </w:p>
    <w:p w:rsidR="00000000" w:rsidRPr="00F06F0B" w:rsidP="00F06F0B">
      <w:pPr>
        <w:pStyle w:val="ListBullet"/>
      </w:pPr>
      <w:r w:rsidRPr="00F06F0B">
        <w:t xml:space="preserve">completing </w:t>
      </w:r>
      <w:r w:rsidRPr="00F06F0B">
        <w:t>the following maintenance activities for each system:</w:t>
      </w:r>
    </w:p>
    <w:p w:rsidR="00000000" w:rsidRPr="00F06F0B" w:rsidP="00F06F0B">
      <w:pPr>
        <w:pStyle w:val="ListBullet2"/>
      </w:pPr>
      <w:r w:rsidRPr="00F06F0B">
        <w:t>replacing the agent and recharging the system to operational condition</w:t>
      </w:r>
    </w:p>
    <w:p w:rsidR="00000000" w:rsidRPr="00F06F0B" w:rsidP="00F06F0B">
      <w:pPr>
        <w:pStyle w:val="ListBullet2"/>
      </w:pPr>
      <w:r w:rsidRPr="00F06F0B">
        <w:t>replacing one component within the extinguishing system with approved replacement componentry</w:t>
      </w:r>
    </w:p>
    <w:p w:rsidR="00000000" w:rsidRPr="00F06F0B" w:rsidP="00F06F0B">
      <w:pPr>
        <w:pStyle w:val="ListBullet2"/>
      </w:pPr>
      <w:r w:rsidRPr="00F06F0B">
        <w:t>replacing one component within the detection system with approved replacement componentry.</w:t>
      </w:r>
    </w:p>
    <w:p w:rsidR="00000000" w:rsidRPr="00F06F0B" w:rsidP="00F06F0B">
      <w:pPr>
        <w:pStyle w:val="AllowPageBreak"/>
      </w:pPr>
    </w:p>
    <w:p w:rsidR="00000000" w:rsidRPr="00F06F0B" w:rsidP="00F06F0B">
      <w:pPr>
        <w:pStyle w:val="Heading1"/>
      </w:pPr>
      <w:bookmarkStart w:id="3" w:name="O_1163504"/>
      <w:bookmarkEnd w:id="3"/>
      <w:r w:rsidRPr="00F06F0B">
        <w:t>Knowledge Evidence</w:t>
      </w:r>
    </w:p>
    <w:p w:rsidR="00000000" w:rsidRPr="00F06F0B" w:rsidP="00B913B4">
      <w:pPr>
        <w:pStyle w:val="BodyText"/>
      </w:pPr>
      <w:r w:rsidRPr="00F06F0B">
        <w:t>To be competent in this unit, a candidate must demonstrate knowledge of:</w:t>
      </w:r>
    </w:p>
    <w:p w:rsidR="00000000" w:rsidRPr="00F06F0B" w:rsidP="00F06F0B">
      <w:pPr>
        <w:pStyle w:val="ListBullet"/>
      </w:pPr>
      <w:r w:rsidRPr="00F06F0B">
        <w:t>action to take when a breach of regulation, work heal</w:t>
      </w:r>
      <w:r w:rsidRPr="00F06F0B">
        <w:t>th and safety (WHS) or other policy occurs when inspecting, testing and maintaining non-gaseous pre-engineered fire-suppression systems</w:t>
      </w:r>
    </w:p>
    <w:p w:rsidR="00000000" w:rsidRPr="00F06F0B" w:rsidP="00F06F0B">
      <w:pPr>
        <w:pStyle w:val="ListBullet"/>
      </w:pPr>
      <w:r w:rsidRPr="00F06F0B">
        <w:t>hazards and risks typically encountered when inspecting, testing and maintaining non-gaseous pre-engineered fire-suppres</w:t>
      </w:r>
      <w:r w:rsidRPr="00F06F0B">
        <w:t>sion systems:</w:t>
      </w:r>
    </w:p>
    <w:p w:rsidR="00000000" w:rsidRPr="00F06F0B" w:rsidP="00F06F0B">
      <w:pPr>
        <w:pStyle w:val="ListBullet2"/>
      </w:pPr>
      <w:r w:rsidRPr="00F06F0B">
        <w:t>electrical</w:t>
      </w:r>
    </w:p>
    <w:p w:rsidR="00000000" w:rsidRPr="00F06F0B" w:rsidP="00F06F0B">
      <w:pPr>
        <w:pStyle w:val="ListBullet2"/>
      </w:pPr>
      <w:r w:rsidRPr="00F06F0B">
        <w:t>hazardous materials</w:t>
      </w:r>
    </w:p>
    <w:p w:rsidR="00000000" w:rsidRPr="00F06F0B" w:rsidP="00F06F0B">
      <w:pPr>
        <w:pStyle w:val="ListBullet2"/>
      </w:pPr>
      <w:r w:rsidRPr="00F06F0B">
        <w:t>moving parts</w:t>
      </w:r>
    </w:p>
    <w:p w:rsidR="00000000" w:rsidRPr="00F06F0B" w:rsidP="00F06F0B">
      <w:pPr>
        <w:pStyle w:val="ListBullet"/>
      </w:pPr>
      <w:r w:rsidRPr="00F06F0B">
        <w:t>implications of applying incorrect inspection, testing and maintenance procedures</w:t>
      </w:r>
    </w:p>
    <w:p w:rsidR="00000000" w:rsidRPr="00F06F0B" w:rsidP="00F06F0B">
      <w:pPr>
        <w:pStyle w:val="ListBullet"/>
      </w:pPr>
      <w:r w:rsidRPr="00F06F0B">
        <w:t>implications of not complying with safety, regulatory or manufacturer requirements when inspecting, testing and ma</w:t>
      </w:r>
      <w:r w:rsidRPr="00F06F0B">
        <w:t>intaining non-gaseous pre-engineered fire-suppression systems</w:t>
      </w:r>
    </w:p>
    <w:p w:rsidR="00000000" w:rsidRPr="00F06F0B" w:rsidP="00F06F0B">
      <w:pPr>
        <w:pStyle w:val="ListBullet"/>
      </w:pPr>
      <w:r w:rsidRPr="00F06F0B">
        <w:t>key features of legislation, regulations, codes and Australian Standards relevant to inspecting, testing and maintaining non-gaseous pre-engineered fire-suppression systems:</w:t>
      </w:r>
    </w:p>
    <w:p w:rsidR="00000000" w:rsidRPr="00F06F0B" w:rsidP="00F06F0B">
      <w:pPr>
        <w:pStyle w:val="ListBullet2"/>
      </w:pPr>
      <w:r w:rsidRPr="00F06F0B">
        <w:t>environmental prote</w:t>
      </w:r>
      <w:r w:rsidRPr="00F06F0B">
        <w:t>ction</w:t>
      </w:r>
    </w:p>
    <w:p w:rsidR="00000000" w:rsidRPr="00F06F0B" w:rsidP="00F06F0B">
      <w:pPr>
        <w:pStyle w:val="ListBullet2"/>
      </w:pPr>
      <w:r w:rsidRPr="00F06F0B">
        <w:t>limitations of maintenance and repair functions that may be conducted by fire protection technicians</w:t>
      </w:r>
    </w:p>
    <w:p w:rsidR="00000000" w:rsidRPr="00F06F0B" w:rsidP="00F06F0B">
      <w:pPr>
        <w:pStyle w:val="ListBullet2"/>
      </w:pPr>
      <w:r w:rsidRPr="00F06F0B">
        <w:t>maintenance schedules</w:t>
      </w:r>
    </w:p>
    <w:p w:rsidR="00000000" w:rsidRPr="00F06F0B" w:rsidP="00F06F0B">
      <w:pPr>
        <w:pStyle w:val="ListBullet2"/>
      </w:pPr>
      <w:r w:rsidRPr="00F06F0B">
        <w:t>National Construction Code (NCC) and deemed-to-satisfy requirements</w:t>
      </w:r>
    </w:p>
    <w:p w:rsidR="00000000" w:rsidRPr="00F06F0B" w:rsidP="00F06F0B">
      <w:pPr>
        <w:pStyle w:val="ListBullet2"/>
      </w:pPr>
      <w:r w:rsidRPr="00F06F0B">
        <w:t>records and documentation</w:t>
      </w:r>
    </w:p>
    <w:p w:rsidR="00000000" w:rsidRPr="00F06F0B" w:rsidP="00F06F0B">
      <w:pPr>
        <w:pStyle w:val="ListBullet"/>
      </w:pPr>
      <w:r w:rsidRPr="00F06F0B">
        <w:t>procedures for inspec</w:t>
      </w:r>
      <w:r w:rsidRPr="00F06F0B">
        <w:t>ting, testing and maintaining non-gaseous pre-engineered fire-suppression systems to verify operation in line with manufacturer requirements</w:t>
      </w:r>
    </w:p>
    <w:p w:rsidR="00000000" w:rsidRPr="00F06F0B" w:rsidP="00F06F0B">
      <w:pPr>
        <w:pStyle w:val="ListBullet"/>
      </w:pPr>
      <w:r w:rsidRPr="00F06F0B">
        <w:t>purpose of fire-suppression system shutdown and isolation during maintenance</w:t>
      </w:r>
    </w:p>
    <w:p w:rsidR="00000000" w:rsidRPr="00F06F0B" w:rsidP="00F06F0B">
      <w:pPr>
        <w:pStyle w:val="ListBullet"/>
      </w:pPr>
      <w:r w:rsidRPr="00F06F0B">
        <w:t>types and purpose of non-gaseous pre-e</w:t>
      </w:r>
      <w:r w:rsidRPr="00F06F0B">
        <w:t>ngineered fire-suppression systems</w:t>
      </w:r>
    </w:p>
    <w:p w:rsidR="00000000" w:rsidRPr="00F06F0B" w:rsidP="00F06F0B">
      <w:pPr>
        <w:pStyle w:val="ListBullet"/>
      </w:pPr>
      <w:r w:rsidRPr="00F06F0B">
        <w:t>types of extinguishing agents, their characteristics and use</w:t>
      </w:r>
    </w:p>
    <w:p w:rsidR="00000000" w:rsidRPr="00F06F0B" w:rsidP="00F06F0B">
      <w:pPr>
        <w:pStyle w:val="ListBullet"/>
      </w:pPr>
      <w:r w:rsidRPr="00F06F0B">
        <w:t>types and purpose of major components used in fixed installed non-gaseous pre-engineered fire-suppression systems:</w:t>
      </w:r>
    </w:p>
    <w:p w:rsidR="00000000" w:rsidRPr="00F06F0B" w:rsidP="00F06F0B">
      <w:pPr>
        <w:pStyle w:val="ListBullet2"/>
      </w:pPr>
      <w:r w:rsidRPr="00F06F0B">
        <w:t>actuators: mechanical, pyrotechnic and solen</w:t>
      </w:r>
      <w:r w:rsidRPr="00F06F0B">
        <w:t>oid</w:t>
      </w:r>
    </w:p>
    <w:p w:rsidR="00000000" w:rsidRPr="00F06F0B" w:rsidP="00F06F0B">
      <w:pPr>
        <w:pStyle w:val="ListBullet2"/>
      </w:pPr>
      <w:r w:rsidRPr="00F06F0B">
        <w:t>agent discharge nozzles</w:t>
      </w:r>
    </w:p>
    <w:p w:rsidR="00000000" w:rsidRPr="00F06F0B" w:rsidP="00F06F0B">
      <w:pPr>
        <w:pStyle w:val="ListBullet2"/>
      </w:pPr>
      <w:r w:rsidRPr="00F06F0B">
        <w:t>agent distribution pipework and hoses</w:t>
      </w:r>
    </w:p>
    <w:p w:rsidR="00000000" w:rsidRPr="00F06F0B" w:rsidP="00F06F0B">
      <w:pPr>
        <w:pStyle w:val="ListBullet2"/>
      </w:pPr>
      <w:r w:rsidRPr="00F06F0B">
        <w:t>container valves</w:t>
      </w:r>
    </w:p>
    <w:p w:rsidR="00000000" w:rsidRPr="00F06F0B" w:rsidP="00F06F0B">
      <w:pPr>
        <w:pStyle w:val="ListBullet2"/>
      </w:pPr>
      <w:r w:rsidRPr="00F06F0B">
        <w:t>control equipment</w:t>
      </w:r>
    </w:p>
    <w:p w:rsidR="00000000" w:rsidRPr="00F06F0B" w:rsidP="00F06F0B">
      <w:pPr>
        <w:pStyle w:val="ListBullet2"/>
      </w:pPr>
      <w:r w:rsidRPr="00F06F0B">
        <w:t>detection devices</w:t>
      </w:r>
    </w:p>
    <w:p w:rsidR="00000000" w:rsidRPr="00F06F0B" w:rsidP="00F06F0B">
      <w:pPr>
        <w:pStyle w:val="ListBullet2"/>
      </w:pPr>
      <w:r w:rsidRPr="00F06F0B">
        <w:t>extinguishing agent containers, such as tanks and cylinders</w:t>
      </w:r>
    </w:p>
    <w:p w:rsidR="00000000" w:rsidRPr="00F06F0B" w:rsidP="00F06F0B">
      <w:pPr>
        <w:pStyle w:val="ListBullet2"/>
      </w:pPr>
      <w:r w:rsidRPr="00F06F0B">
        <w:t>support brackets</w:t>
      </w:r>
    </w:p>
    <w:p w:rsidR="00000000" w:rsidRPr="00F06F0B" w:rsidP="00F06F0B">
      <w:pPr>
        <w:pStyle w:val="ListBullet"/>
      </w:pPr>
      <w:r w:rsidRPr="00F06F0B">
        <w:t>types and purpose of tools and equipment used when inspecting, testing and maintaining non-gaseous pre-engineered fire-suppression systems:</w:t>
      </w:r>
    </w:p>
    <w:p w:rsidR="00000000" w:rsidRPr="00F06F0B" w:rsidP="00F06F0B">
      <w:pPr>
        <w:pStyle w:val="ListBullet2"/>
      </w:pPr>
      <w:r w:rsidRPr="00F06F0B">
        <w:t>hand and power tools</w:t>
      </w:r>
    </w:p>
    <w:p w:rsidR="00000000" w:rsidRPr="00F06F0B" w:rsidP="00F06F0B">
      <w:pPr>
        <w:pStyle w:val="ListBullet2"/>
      </w:pPr>
      <w:r w:rsidRPr="00F06F0B">
        <w:t>pressurising equipment</w:t>
      </w:r>
    </w:p>
    <w:p w:rsidR="00000000" w:rsidRPr="00F06F0B" w:rsidP="00F06F0B">
      <w:pPr>
        <w:pStyle w:val="ListBullet2"/>
      </w:pPr>
      <w:r w:rsidRPr="00F06F0B">
        <w:t>personal protective equipment (PPE)</w:t>
      </w:r>
    </w:p>
    <w:p w:rsidR="00000000" w:rsidRPr="00F06F0B" w:rsidP="00F06F0B">
      <w:pPr>
        <w:pStyle w:val="ListBullet"/>
      </w:pPr>
      <w:r w:rsidRPr="00F06F0B">
        <w:t>workplace requirements for inspect</w:t>
      </w:r>
      <w:r w:rsidRPr="00F06F0B">
        <w:t>ing, testing and maintaining non-gaseous pre-engineered fire-suppression systems:</w:t>
      </w:r>
    </w:p>
    <w:p w:rsidR="00000000" w:rsidRPr="00F06F0B" w:rsidP="00F06F0B">
      <w:pPr>
        <w:pStyle w:val="ListBullet2"/>
      </w:pPr>
      <w:r w:rsidRPr="00F06F0B">
        <w:t>maintenance of tools and equipment</w:t>
      </w:r>
    </w:p>
    <w:p w:rsidR="00000000" w:rsidRPr="00F06F0B" w:rsidP="00F06F0B">
      <w:pPr>
        <w:pStyle w:val="ListBullet2"/>
      </w:pPr>
      <w:r w:rsidRPr="00F06F0B">
        <w:t>WHS, including hazard and risk identification and control.</w:t>
      </w:r>
    </w:p>
    <w:p w:rsidR="00000000" w:rsidRPr="00F06F0B" w:rsidP="00F06F0B">
      <w:pPr>
        <w:pStyle w:val="AllowPageBreak"/>
      </w:pPr>
    </w:p>
    <w:p w:rsidR="00000000" w:rsidRPr="00F06F0B" w:rsidP="00F06F0B">
      <w:pPr>
        <w:pStyle w:val="Heading1"/>
      </w:pPr>
      <w:bookmarkStart w:id="4" w:name="O_1163503"/>
      <w:bookmarkEnd w:id="4"/>
      <w:r w:rsidRPr="00F06F0B">
        <w:t>Assessment Conditions</w:t>
      </w:r>
    </w:p>
    <w:p w:rsidR="00000000" w:rsidRPr="00F06F0B" w:rsidP="00B913B4">
      <w:pPr>
        <w:pStyle w:val="BodyText"/>
      </w:pPr>
      <w:r w:rsidRPr="00F06F0B">
        <w:t>Assessors must meet the requirements f</w:t>
      </w:r>
      <w:r w:rsidRPr="00F06F0B">
        <w:t xml:space="preserve">or assessors contained in the Standards for Registered Training Organisations. </w:t>
      </w:r>
    </w:p>
    <w:p w:rsidR="00000000" w:rsidRPr="00F06F0B" w:rsidP="00B913B4">
      <w:pPr>
        <w:pStyle w:val="BodyText"/>
      </w:pPr>
      <w:r w:rsidRPr="00F06F0B">
        <w:t xml:space="preserve">Assessment must be conducted in the workplace or a simulated workplace using realistic conditions, materials, activities, responsibilities, procedures, safety requirements and </w:t>
      </w:r>
      <w:r w:rsidRPr="00F06F0B">
        <w:t>environmental considerations.</w:t>
      </w:r>
    </w:p>
    <w:p w:rsidR="00000000" w:rsidRPr="00F06F0B" w:rsidP="00B913B4">
      <w:pPr>
        <w:pStyle w:val="BodyText"/>
      </w:pPr>
      <w:r w:rsidRPr="00F06F0B">
        <w:t>Candidates must have access to documentation, tools, equipment, spare parts and installed fixed non-gaseous pre-engineered fire-suppression systems required to achieve the performance evidence.</w:t>
      </w:r>
    </w:p>
    <w:p w:rsidR="00000000" w:rsidRPr="00F06F0B" w:rsidP="00F06F0B">
      <w:pPr>
        <w:pStyle w:val="Heading1"/>
      </w:pPr>
      <w:bookmarkStart w:id="5" w:name="O_1163501"/>
      <w:bookmarkEnd w:id="5"/>
      <w:r w:rsidRPr="00F06F0B">
        <w:t>Links</w:t>
      </w:r>
    </w:p>
    <w:p w:rsidR="00000000" w:rsidRPr="00F06F0B" w:rsidP="00B913B4">
      <w:pPr>
        <w:pStyle w:val="BodyText"/>
      </w:pPr>
      <w:r w:rsidRPr="00F06F0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A223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06F0B" w:rsidP="00F06F0B"/>
    <w:sectPr w:rsidSect="00F06F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F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F0B" w:rsidRPr="00B913B4" w:rsidP="00B913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F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3B4" w:rsidP="00F06F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13B4" w:rsidP="00F06F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913B4" w:rsidP="00F06F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F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3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6F0B" w:rsidRPr="00B913B4" w:rsidP="00B913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F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3B4" w:rsidRPr="002D2AF8" w:rsidP="00F06F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CPPFES2027 Inspect, test and maintain non-gaseous pre-engineered fire-suppression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913B4" w:rsidP="00F06F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1618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12AB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3CB1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F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6F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6F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6F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6F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6F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6F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6F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6F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6F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6F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6F0B"/>
  </w:style>
  <w:style w:type="character" w:customStyle="1" w:styleId="Heading1Char">
    <w:name w:val="Heading 1 Char"/>
    <w:basedOn w:val="DefaultParagraphFont"/>
    <w:link w:val="Heading1"/>
    <w:rsid w:val="00F06F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6F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6F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6F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6F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6F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6F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6F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6F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6F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6F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6F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6F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6F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6F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6F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6F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6F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6F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6F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6F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6F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6F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6F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6F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6F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6F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6F0B"/>
    <w:rPr>
      <w:b/>
      <w:spacing w:val="0"/>
    </w:rPr>
  </w:style>
  <w:style w:type="paragraph" w:customStyle="1" w:styleId="SuperTitle">
    <w:name w:val="SuperTitle"/>
    <w:basedOn w:val="Title"/>
    <w:rsid w:val="00F06F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6F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6F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6F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6F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6F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6F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6F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6F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6F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6F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6F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6F0B"/>
    <w:rPr>
      <w:i/>
    </w:rPr>
  </w:style>
  <w:style w:type="paragraph" w:styleId="Caption">
    <w:name w:val="caption"/>
    <w:basedOn w:val="BodyText"/>
    <w:next w:val="Normal"/>
    <w:qFormat/>
    <w:rsid w:val="00F06F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6F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6F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6F0B"/>
  </w:style>
  <w:style w:type="paragraph" w:styleId="TableofFigures">
    <w:name w:val="table of figures"/>
    <w:basedOn w:val="Normal"/>
    <w:next w:val="Normal"/>
    <w:semiHidden/>
    <w:rsid w:val="00F06F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6F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6F0B"/>
    <w:rPr>
      <w:rFonts w:ascii="Wingdings" w:hAnsi="Wingdings"/>
    </w:rPr>
  </w:style>
  <w:style w:type="paragraph" w:customStyle="1" w:styleId="TableHeading">
    <w:name w:val="Table Heading"/>
    <w:basedOn w:val="HeadingBase"/>
    <w:rsid w:val="00F06F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6F0B"/>
    <w:rPr>
      <w:color w:val="0033CC"/>
      <w:u w:val="none"/>
    </w:rPr>
  </w:style>
  <w:style w:type="paragraph" w:customStyle="1" w:styleId="BodyTextRight">
    <w:name w:val="Body Text Right"/>
    <w:basedOn w:val="BodyText"/>
    <w:rsid w:val="00F06F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6F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6F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6F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6F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6F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6F0B"/>
    <w:rPr>
      <w:sz w:val="32"/>
    </w:rPr>
  </w:style>
  <w:style w:type="paragraph" w:customStyle="1" w:styleId="HeadingProcedure">
    <w:name w:val="Heading Procedure"/>
    <w:basedOn w:val="HeadingBase"/>
    <w:next w:val="Normal"/>
    <w:rsid w:val="00F06F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6F0B"/>
    <w:pPr>
      <w:spacing w:before="60" w:after="60"/>
    </w:pPr>
  </w:style>
  <w:style w:type="paragraph" w:styleId="ListContinue">
    <w:name w:val="List Continue"/>
    <w:basedOn w:val="List"/>
    <w:rsid w:val="00F06F0B"/>
    <w:pPr>
      <w:ind w:firstLine="0"/>
    </w:pPr>
  </w:style>
  <w:style w:type="paragraph" w:customStyle="1" w:styleId="ListNote">
    <w:name w:val="List Note"/>
    <w:basedOn w:val="List"/>
    <w:rsid w:val="00F06F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6F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6F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6F0B"/>
    <w:rPr>
      <w:rFonts w:ascii="Courier New" w:hAnsi="Courier New"/>
    </w:rPr>
  </w:style>
  <w:style w:type="paragraph" w:customStyle="1" w:styleId="NoteBullet">
    <w:name w:val="Note Bullet"/>
    <w:basedOn w:val="Note"/>
    <w:rsid w:val="00F06F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6F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6F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6F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6F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6F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6F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6F0B"/>
    <w:rPr>
      <w:b/>
      <w:smallCaps/>
    </w:rPr>
  </w:style>
  <w:style w:type="paragraph" w:customStyle="1" w:styleId="TableListNumber">
    <w:name w:val="Table List Number"/>
    <w:basedOn w:val="ListNumber"/>
    <w:rsid w:val="00F06F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6F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6F0B"/>
    <w:pPr>
      <w:numPr>
        <w:numId w:val="9"/>
      </w:numPr>
    </w:pPr>
  </w:style>
  <w:style w:type="paragraph" w:customStyle="1" w:styleId="ListAlpha2">
    <w:name w:val="List Alpha 2"/>
    <w:basedOn w:val="List2"/>
    <w:rsid w:val="00F06F0B"/>
    <w:pPr>
      <w:numPr>
        <w:numId w:val="8"/>
      </w:numPr>
    </w:pPr>
  </w:style>
  <w:style w:type="paragraph" w:styleId="List2">
    <w:name w:val="List 2"/>
    <w:basedOn w:val="BodyText"/>
    <w:rsid w:val="00F06F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6F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6F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6F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6F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6F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6F0B"/>
    <w:pPr>
      <w:numPr>
        <w:numId w:val="4"/>
      </w:numPr>
    </w:pPr>
  </w:style>
  <w:style w:type="paragraph" w:styleId="ListContinue2">
    <w:name w:val="List Continue 2"/>
    <w:basedOn w:val="List2"/>
    <w:rsid w:val="00F06F0B"/>
    <w:pPr>
      <w:ind w:firstLine="0"/>
    </w:pPr>
  </w:style>
  <w:style w:type="paragraph" w:styleId="ListContinue3">
    <w:name w:val="List Continue 3"/>
    <w:basedOn w:val="List3"/>
    <w:rsid w:val="00F06F0B"/>
    <w:pPr>
      <w:ind w:left="1021" w:firstLine="0"/>
    </w:pPr>
  </w:style>
  <w:style w:type="paragraph" w:styleId="ListContinue4">
    <w:name w:val="List Continue 4"/>
    <w:basedOn w:val="List4"/>
    <w:rsid w:val="00F06F0B"/>
    <w:pPr>
      <w:ind w:firstLine="0"/>
    </w:pPr>
  </w:style>
  <w:style w:type="paragraph" w:styleId="ListContinue5">
    <w:name w:val="List Continue 5"/>
    <w:basedOn w:val="List5"/>
    <w:rsid w:val="00F06F0B"/>
    <w:pPr>
      <w:ind w:firstLine="0"/>
    </w:pPr>
  </w:style>
  <w:style w:type="paragraph" w:styleId="ListNumber3">
    <w:name w:val="List Number 3"/>
    <w:basedOn w:val="List3"/>
    <w:rsid w:val="00F06F0B"/>
    <w:pPr>
      <w:numPr>
        <w:numId w:val="5"/>
      </w:numPr>
    </w:pPr>
  </w:style>
  <w:style w:type="paragraph" w:styleId="ListNumber4">
    <w:name w:val="List Number 4"/>
    <w:basedOn w:val="List4"/>
    <w:rsid w:val="00F06F0B"/>
    <w:pPr>
      <w:numPr>
        <w:numId w:val="6"/>
      </w:numPr>
    </w:pPr>
  </w:style>
  <w:style w:type="paragraph" w:styleId="ListNumber5">
    <w:name w:val="List Number 5"/>
    <w:basedOn w:val="List5"/>
    <w:rsid w:val="00F06F0B"/>
    <w:pPr>
      <w:numPr>
        <w:numId w:val="7"/>
      </w:numPr>
    </w:pPr>
  </w:style>
  <w:style w:type="paragraph" w:styleId="BlockText">
    <w:name w:val="Block Text"/>
    <w:basedOn w:val="Normal"/>
    <w:rsid w:val="00F06F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6F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6F0B"/>
    <w:rPr>
      <w:sz w:val="16"/>
      <w:vertAlign w:val="superscript"/>
    </w:rPr>
  </w:style>
  <w:style w:type="character" w:customStyle="1" w:styleId="Symbols">
    <w:name w:val="Symbols"/>
    <w:basedOn w:val="DefaultParagraphFont"/>
    <w:rsid w:val="00F06F0B"/>
    <w:rPr>
      <w:rFonts w:ascii="Symbol" w:hAnsi="Symbol"/>
    </w:rPr>
  </w:style>
  <w:style w:type="character" w:customStyle="1" w:styleId="MenuOptions">
    <w:name w:val="Menu Options"/>
    <w:basedOn w:val="DefaultParagraphFont"/>
    <w:rsid w:val="00F06F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6F0B"/>
    <w:rPr>
      <w:b/>
    </w:rPr>
  </w:style>
  <w:style w:type="character" w:customStyle="1" w:styleId="Underlined">
    <w:name w:val="Underlined"/>
    <w:basedOn w:val="DefaultParagraphFont"/>
    <w:rsid w:val="00F06F0B"/>
    <w:rPr>
      <w:u w:val="single"/>
    </w:rPr>
  </w:style>
  <w:style w:type="paragraph" w:customStyle="1" w:styleId="TableBodyTextRight">
    <w:name w:val="Table Body Text Right"/>
    <w:basedOn w:val="TableBodyText"/>
    <w:rsid w:val="00F06F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6F0B"/>
    <w:rPr>
      <w:sz w:val="18"/>
    </w:rPr>
  </w:style>
  <w:style w:type="paragraph" w:customStyle="1" w:styleId="BodySmallRight">
    <w:name w:val="Body Small Right"/>
    <w:basedOn w:val="BodyTextRight"/>
    <w:rsid w:val="00F06F0B"/>
    <w:rPr>
      <w:sz w:val="18"/>
      <w:szCs w:val="18"/>
    </w:rPr>
  </w:style>
  <w:style w:type="paragraph" w:customStyle="1" w:styleId="MarginEdition">
    <w:name w:val="Margin Edition"/>
    <w:basedOn w:val="MarginNote"/>
    <w:rsid w:val="00F06F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6F0B"/>
    <w:rPr>
      <w:sz w:val="2"/>
      <w:szCs w:val="2"/>
    </w:rPr>
  </w:style>
  <w:style w:type="character" w:customStyle="1" w:styleId="Small">
    <w:name w:val="Small"/>
    <w:basedOn w:val="DefaultParagraphFont"/>
    <w:rsid w:val="00F06F0B"/>
    <w:rPr>
      <w:sz w:val="16"/>
    </w:rPr>
  </w:style>
  <w:style w:type="paragraph" w:customStyle="1" w:styleId="WideTable">
    <w:name w:val="Wide Table"/>
    <w:basedOn w:val="Normal"/>
    <w:rsid w:val="00F06F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6F0B"/>
  </w:style>
  <w:style w:type="paragraph" w:styleId="Quote">
    <w:name w:val="Quote"/>
    <w:basedOn w:val="Heading1"/>
    <w:link w:val="QuoteChar"/>
    <w:qFormat/>
    <w:rsid w:val="00F06F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6F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6F0B"/>
    <w:pPr>
      <w:pageBreakBefore/>
    </w:pPr>
  </w:style>
  <w:style w:type="paragraph" w:customStyle="1" w:styleId="Border">
    <w:name w:val="Border"/>
    <w:basedOn w:val="Normal"/>
    <w:qFormat/>
    <w:rsid w:val="00F06F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6F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6F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6F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6F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6F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6F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6F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6F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6F0B"/>
    <w:rPr>
      <w:u w:val="single"/>
    </w:rPr>
  </w:style>
  <w:style w:type="character" w:customStyle="1" w:styleId="BoldandItalics">
    <w:name w:val="Bold and Italics"/>
    <w:qFormat/>
    <w:rsid w:val="00F06F0B"/>
    <w:rPr>
      <w:b/>
      <w:i/>
      <w:u w:val="none"/>
    </w:rPr>
  </w:style>
  <w:style w:type="paragraph" w:styleId="BalloonText">
    <w:name w:val="Balloon Text"/>
    <w:basedOn w:val="Normal"/>
    <w:link w:val="BalloonTextChar"/>
    <w:rsid w:val="00F06F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6F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6F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6F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6F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6F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6F0B"/>
    <w:pPr>
      <w:spacing w:before="0" w:after="0"/>
    </w:pPr>
  </w:style>
  <w:style w:type="paragraph" w:customStyle="1" w:styleId="BodyTextBold">
    <w:name w:val="Body Text Bold"/>
    <w:basedOn w:val="BodyText"/>
    <w:qFormat/>
    <w:rsid w:val="00F06F0B"/>
    <w:rPr>
      <w:b/>
    </w:rPr>
  </w:style>
  <w:style w:type="character" w:styleId="Hyperlink">
    <w:name w:val="Hyperlink"/>
    <w:basedOn w:val="DefaultParagraphFont"/>
    <w:uiPriority w:val="99"/>
    <w:unhideWhenUsed/>
    <w:rsid w:val="00B913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3836</Characters>
  <Application>Microsoft Office Word</Application>
  <DocSecurity>0</DocSecurity>
  <Lines>91</Lines>
  <Paragraphs>63</Paragraphs>
  <ScaleCrop>false</ScaleCrop>
  <Company>Author-it Software Corporation Ltd.</Company>
  <LinksUpToDate>false</LinksUpToDate>
  <CharactersWithSpaces>4280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CPPFES2027 Inspect, test and maintain non-gaseous pre-engineered fire-suppression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2023-02-03T06:41:00Z</dcterms:created>
  <dcterms:modified xsi:type="dcterms:W3CDTF">2023-02-03T06:41:00Z</dcterms:modified>
</cp:coreProperties>
</file>