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B70" w:rsidP="007F4B70">
      <w:pPr>
        <w:pStyle w:val="Title"/>
      </w:pPr>
      <w:r>
        <w:fldChar w:fldCharType="begin"/>
      </w:r>
      <w:r>
        <w:instrText xml:space="preserve"> TITLE   \* MERGEFORMAT </w:instrText>
      </w:r>
      <w:r>
        <w:fldChar w:fldCharType="separate"/>
      </w:r>
      <w:r>
        <w:t>CPPFES2011 Install portable fire extinguishers, fire cabinets and fire blankets</w:t>
      </w:r>
      <w:r>
        <w:fldChar w:fldCharType="end"/>
      </w:r>
    </w:p>
    <w:p w:rsidR="007F4B70" w:rsidP="007F4B70">
      <w:pPr>
        <w:pStyle w:val="Version"/>
        <w:sectPr w:rsidSect="00A11B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BA3" w:rsidP="00A11BA3">
      <w:pPr>
        <w:pStyle w:val="SuperHeading"/>
      </w:pPr>
      <w:r w:rsidRPr="00A11BA3">
        <w:t>CPPFES2011 Install portable fire extinguishers, fire cabinets and fire blankets</w:t>
      </w:r>
    </w:p>
    <w:p w:rsidR="00000000" w:rsidRPr="00A11BA3" w:rsidP="00A11BA3">
      <w:pPr>
        <w:pStyle w:val="Heading1"/>
      </w:pPr>
      <w:bookmarkStart w:id="1" w:name="O_1163404"/>
      <w:bookmarkEnd w:id="1"/>
      <w:r w:rsidRPr="00A11BA3">
        <w:t>Modification History</w:t>
      </w:r>
    </w:p>
    <w:tbl>
      <w:tblPr>
        <w:tblW w:w="0" w:type="auto"/>
        <w:tblLayout w:type="fixed"/>
        <w:tblCellMar>
          <w:left w:w="62" w:type="dxa"/>
          <w:right w:w="62" w:type="dxa"/>
        </w:tblCellMar>
        <w:tblLook w:val="0000"/>
      </w:tblPr>
      <w:tblGrid>
        <w:gridCol w:w="1168"/>
        <w:gridCol w:w="7734"/>
      </w:tblGrid>
      <w:tr w:rsidTr="00A11BA3">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Release 1</w:t>
            </w:r>
          </w:p>
        </w:tc>
        <w:tc>
          <w:tcPr>
            <w:tcW w:w="7734" w:type="dxa"/>
            <w:tcBorders>
              <w:top w:val="nil"/>
              <w:left w:val="nil"/>
              <w:bottom w:val="nil"/>
              <w:right w:val="nil"/>
            </w:tcBorders>
            <w:tcMar>
              <w:top w:w="0" w:type="dxa"/>
              <w:left w:w="62" w:type="dxa"/>
              <w:bottom w:w="0" w:type="dxa"/>
              <w:right w:w="62" w:type="dxa"/>
            </w:tcMar>
          </w:tcPr>
          <w:p w:rsidR="00000000" w:rsidRPr="00A11BA3" w:rsidP="00A11BA3">
            <w:pPr>
              <w:pStyle w:val="BodyText"/>
            </w:pPr>
            <w:r w:rsidRPr="00A11BA3">
              <w:t>This version first released with CPP Property Services Training Package Release 13.0.</w:t>
            </w:r>
          </w:p>
          <w:p w:rsidR="00000000" w:rsidRPr="00A11BA3" w:rsidP="00A11BA3">
            <w:pPr>
              <w:pStyle w:val="BodyText"/>
            </w:pPr>
            <w:r w:rsidRPr="00A11BA3">
              <w:t>Supersedes and is equivalent to CPPFES2011A Install portable fire extinguishers and fire blankets.  Unit updated to meet the Standards for Training Packages 2012. Minor change to title.</w:t>
            </w:r>
          </w:p>
        </w:tc>
      </w:tr>
    </w:tbl>
    <w:p w:rsidR="00000000" w:rsidRPr="00A11BA3" w:rsidP="00A11BA3">
      <w:pPr>
        <w:pStyle w:val="BodyText"/>
      </w:pPr>
    </w:p>
    <w:p w:rsidR="00000000" w:rsidRPr="00A11BA3" w:rsidP="00A11BA3">
      <w:pPr>
        <w:pStyle w:val="AllowPageBreak"/>
      </w:pPr>
    </w:p>
    <w:p w:rsidR="00000000" w:rsidRPr="00A11BA3" w:rsidP="00A11BA3">
      <w:pPr>
        <w:pStyle w:val="Heading1"/>
      </w:pPr>
      <w:bookmarkStart w:id="2" w:name="O_1163410"/>
      <w:bookmarkEnd w:id="2"/>
      <w:r w:rsidRPr="00A11BA3">
        <w:t>Application</w:t>
      </w:r>
    </w:p>
    <w:p w:rsidR="00000000" w:rsidRPr="00A11BA3" w:rsidP="007F4B70">
      <w:pPr>
        <w:pStyle w:val="BodyText"/>
      </w:pPr>
      <w:r w:rsidRPr="00A11BA3">
        <w:t>This unit of competency specifies the</w:t>
      </w:r>
      <w:r w:rsidRPr="00A11BA3">
        <w:t xml:space="preserve"> skills and knowledge required to Install portable fire extinguishers, fire cabinets and fire blankets at client premises. Installation activities are conducted in compliance with requirements of the relevant Australian Standards and National Construction </w:t>
      </w:r>
      <w:r w:rsidRPr="00A11BA3">
        <w:t>Code (NCC).</w:t>
      </w:r>
    </w:p>
    <w:p w:rsidR="00000000" w:rsidRPr="00A11BA3" w:rsidP="007F4B70">
      <w:pPr>
        <w:pStyle w:val="BodyText"/>
      </w:pPr>
      <w:r w:rsidRPr="00A11BA3">
        <w:t>The unit is suitable for those with basic skills and knowledge undertaking routine work tasks under the direction of more experienced workers.</w:t>
      </w:r>
    </w:p>
    <w:p w:rsidR="00000000" w:rsidRPr="00A11BA3" w:rsidP="007F4B70">
      <w:pPr>
        <w:pStyle w:val="BodyText"/>
      </w:pPr>
      <w:r w:rsidRPr="00A11BA3">
        <w:t xml:space="preserve">Licensing, legislative, regulatory or certification requirements apply to this unit of competency in </w:t>
      </w:r>
      <w:r w:rsidRPr="00A11BA3">
        <w:t>some states and territories. For further information, check with the relevant regulatory authority.</w:t>
      </w:r>
    </w:p>
    <w:p w:rsidR="00000000" w:rsidRPr="00A11BA3" w:rsidP="00A11BA3">
      <w:pPr>
        <w:pStyle w:val="Heading1"/>
      </w:pPr>
      <w:bookmarkStart w:id="3" w:name="O_1163409"/>
      <w:bookmarkEnd w:id="3"/>
      <w:r w:rsidRPr="00A11BA3">
        <w:t>Pre-requisite Unit</w:t>
      </w:r>
    </w:p>
    <w:p w:rsidR="00000000" w:rsidRPr="00A11BA3" w:rsidP="007F4B70">
      <w:pPr>
        <w:pStyle w:val="BodyText"/>
      </w:pPr>
      <w:r w:rsidRPr="00A11BA3">
        <w:t>Nil.</w:t>
      </w:r>
    </w:p>
    <w:p w:rsidR="00000000" w:rsidRPr="00A11BA3" w:rsidP="00A11BA3">
      <w:pPr>
        <w:pStyle w:val="Heading1"/>
      </w:pPr>
      <w:bookmarkStart w:id="4" w:name="O_1163408"/>
      <w:bookmarkEnd w:id="4"/>
      <w:r w:rsidRPr="00A11BA3">
        <w:t>Unit Sector</w:t>
      </w:r>
    </w:p>
    <w:p w:rsidR="00000000" w:rsidRPr="00A11BA3" w:rsidP="007F4B70">
      <w:pPr>
        <w:pStyle w:val="BodyText"/>
      </w:pPr>
      <w:r w:rsidRPr="00A11BA3">
        <w:t>Fire Protection Inspection and Testing</w:t>
      </w:r>
    </w:p>
    <w:p w:rsidR="00000000" w:rsidRPr="00A11BA3" w:rsidP="00A11BA3">
      <w:pPr>
        <w:pStyle w:val="Heading1"/>
      </w:pPr>
      <w:bookmarkStart w:id="5" w:name="O_1163407"/>
      <w:bookmarkEnd w:id="5"/>
      <w:r w:rsidRPr="00A11BA3">
        <w:t>Elements and Performance</w:t>
      </w:r>
      <w:r w:rsidRPr="00A11BA3">
        <w:t xml:space="preserve"> Criteria</w:t>
      </w:r>
    </w:p>
    <w:tbl>
      <w:tblPr>
        <w:tblW w:w="0" w:type="auto"/>
        <w:tblLayout w:type="fixed"/>
        <w:tblCellMar>
          <w:left w:w="62" w:type="dxa"/>
          <w:right w:w="62" w:type="dxa"/>
        </w:tblCellMar>
        <w:tblLook w:val="0000"/>
      </w:tblPr>
      <w:tblGrid>
        <w:gridCol w:w="313"/>
        <w:gridCol w:w="2357"/>
        <w:gridCol w:w="804"/>
        <w:gridCol w:w="5659"/>
      </w:tblGrid>
      <w:tr w:rsidTr="00A11BA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Performance criteria describe what needs to be done to demonstrate achievement of the element.</w:t>
            </w:r>
          </w:p>
        </w:tc>
      </w:tr>
      <w:tr w:rsidTr="00A11B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w:t>
            </w:r>
          </w:p>
        </w:tc>
        <w:tc>
          <w:tcPr>
            <w:tcW w:w="2357"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Plan and prepare for installation operation.</w:t>
            </w: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1.1</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Read work instructions and plans to clarify installation timeframes, client needs, site location and equipment requirements.</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1.2</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Discuss planned installation with relevant persons to clarify client needs and expectations.</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1.3</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Plan work activities to comply with relevant Australian Standards, NCC, regulatory, work health and safety (WHS) and workplace requirements.</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1.4</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Identify potential and actual breaches of rules and regulations associated with work instructions and take r</w:t>
            </w:r>
            <w:r w:rsidRPr="00A11BA3">
              <w:t>equired action to ensure compliance according to regulatory and workplace requirements.</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1.5</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Select and use required tools and equipment, including personal protective equipment (PPE).</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1.6</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Arrange access to worksite and communicate with responsible en</w:t>
            </w:r>
            <w:r w:rsidRPr="00A11BA3">
              <w:t>tity and affected persons to advise duration and impact of planned installation procedures and to ensure alternative safety arrangements are implemented.</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1.7</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Inspect installation area and building surface to locate utilities and identify and prepare to control hazards according to workplace requirements.</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1.8</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Select materials, hardware and installation procedures to suit building surface and product installat</w:t>
            </w:r>
            <w:r w:rsidRPr="00A11BA3">
              <w:t>ion requirements.</w:t>
            </w:r>
          </w:p>
        </w:tc>
      </w:tr>
      <w:tr w:rsidTr="00A11B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11BA3">
            <w:pPr>
              <w:pStyle w:val="BodyText"/>
              <w:rPr>
                <w:lang w:val="en-NZ"/>
              </w:rPr>
            </w:pPr>
          </w:p>
        </w:tc>
      </w:tr>
      <w:tr w:rsidTr="00A11B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2</w:t>
            </w:r>
          </w:p>
        </w:tc>
        <w:tc>
          <w:tcPr>
            <w:tcW w:w="2357"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Select, install and commission portable fire extinguisher.</w:t>
            </w: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2.1</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Select fire extinguisher and installation location to comply with regulations for the area to be protected.</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2.2</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 xml:space="preserve">Use materials, hardware, tools and equipment to securely fix extinguisher mounting brackets and fire extinguisher to building surface according to manufacturers’ instructions and Australian Standards requirements. </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2.3</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Position and fix approved fire ext</w:t>
            </w:r>
            <w:r w:rsidRPr="00A11BA3">
              <w:t>inguisher location signs and labels as required.</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2.4</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Commission extinguisher according to Australian Standards requirements.</w:t>
            </w:r>
          </w:p>
        </w:tc>
      </w:tr>
      <w:tr w:rsidTr="00A11B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11BA3">
            <w:pPr>
              <w:pStyle w:val="BodyText"/>
              <w:rPr>
                <w:lang w:val="en-NZ"/>
              </w:rPr>
            </w:pPr>
          </w:p>
        </w:tc>
      </w:tr>
      <w:tr w:rsidTr="00A11B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3</w:t>
            </w:r>
          </w:p>
        </w:tc>
        <w:tc>
          <w:tcPr>
            <w:tcW w:w="2357"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 xml:space="preserve">Install portable fire extinguisher and fire </w:t>
            </w:r>
            <w:r w:rsidRPr="00A11BA3">
              <w:t>cabinet combination.</w:t>
            </w: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3.1</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Select fire cabinet installation location to comply with regulations for the area to be protected.</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3.2</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 xml:space="preserve">Use materials, hardware, tools and equipment to securely install fire cabinet according to manufacturers’ instructions. </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3.3</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Position and fix approved fire extinguisher location and identification signs and labels as required.</w:t>
            </w:r>
          </w:p>
        </w:tc>
      </w:tr>
      <w:tr w:rsidTr="00A11B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11BA3">
            <w:pPr>
              <w:pStyle w:val="BodyText"/>
              <w:rPr>
                <w:lang w:val="en-NZ"/>
              </w:rPr>
            </w:pPr>
          </w:p>
        </w:tc>
      </w:tr>
      <w:tr w:rsidTr="00A11B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4</w:t>
            </w:r>
          </w:p>
        </w:tc>
        <w:tc>
          <w:tcPr>
            <w:tcW w:w="2357"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Install fire blanket.</w:t>
            </w: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4.1</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Select fire blanket installation location to comply with regulations for the area to be protected.</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4.2</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 xml:space="preserve">Use materials, hardware, tools and equipment to securely install fire blanket according to manufacturers’ instructions. </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4.3</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Position and fix approved fire blanket location signs as required.</w:t>
            </w:r>
          </w:p>
        </w:tc>
      </w:tr>
      <w:tr w:rsidTr="00A11B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11BA3">
            <w:pPr>
              <w:pStyle w:val="BodyText"/>
              <w:rPr>
                <w:lang w:val="en-NZ"/>
              </w:rPr>
            </w:pPr>
          </w:p>
        </w:tc>
      </w:tr>
      <w:tr w:rsidTr="00A11B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5</w:t>
            </w:r>
          </w:p>
        </w:tc>
        <w:tc>
          <w:tcPr>
            <w:tcW w:w="2357" w:type="dxa"/>
            <w:vMerge w:val="restart"/>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Finalise installation operation.</w:t>
            </w: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5.1</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Complete installation records according to Australian Standards, regulatory and workplace requirements.</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5.2</w:t>
            </w:r>
          </w:p>
        </w:tc>
        <w:tc>
          <w:tcPr>
            <w:tcW w:w="5659"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Remove waste from installation operation and leave client premises in a clean and tidy condition.</w:t>
            </w:r>
          </w:p>
        </w:tc>
      </w:tr>
      <w:tr w:rsidTr="00A11B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5.3</w:t>
            </w:r>
          </w:p>
        </w:tc>
        <w:tc>
          <w:tcPr>
            <w:tcW w:w="5659" w:type="dxa"/>
            <w:tcBorders>
              <w:top w:val="nil"/>
              <w:left w:val="nil"/>
              <w:bottom w:val="nil"/>
              <w:right w:val="nil"/>
            </w:tcBorders>
            <w:tcMar>
              <w:top w:w="0" w:type="dxa"/>
              <w:left w:w="62" w:type="dxa"/>
              <w:bottom w:w="0" w:type="dxa"/>
              <w:right w:w="62" w:type="dxa"/>
            </w:tcMar>
          </w:tcPr>
          <w:p w:rsidR="00000000" w:rsidRPr="00A11BA3" w:rsidP="00A11BA3">
            <w:pPr>
              <w:pStyle w:val="BodyText"/>
            </w:pPr>
            <w:r w:rsidRPr="00A11BA3">
              <w:t>Check tools and equipment for faults, wear or damage and rectify or report problems according to workplace requirements.</w:t>
            </w:r>
          </w:p>
        </w:tc>
      </w:tr>
    </w:tbl>
    <w:p w:rsidR="00000000" w:rsidRPr="00A11BA3" w:rsidP="00A11BA3">
      <w:pPr>
        <w:pStyle w:val="BodyText"/>
      </w:pPr>
    </w:p>
    <w:p w:rsidR="00000000" w:rsidRPr="00A11BA3" w:rsidP="00A11BA3">
      <w:pPr>
        <w:pStyle w:val="AllowPageBreak"/>
      </w:pPr>
    </w:p>
    <w:p w:rsidR="00000000" w:rsidRPr="00A11BA3" w:rsidP="00A11BA3">
      <w:pPr>
        <w:pStyle w:val="Heading1"/>
      </w:pPr>
      <w:bookmarkStart w:id="6" w:name="O_1163406"/>
      <w:bookmarkEnd w:id="6"/>
      <w:r w:rsidRPr="00A11BA3">
        <w:t>Foundation Skills</w:t>
      </w:r>
    </w:p>
    <w:p w:rsidR="00000000" w:rsidRPr="00A11BA3" w:rsidP="007F4B70">
      <w:pPr>
        <w:pStyle w:val="BodyText"/>
      </w:pPr>
      <w:r w:rsidRPr="00A11BA3">
        <w:t>Foundation skills essential to performance are explicit in the performance criteria of this unit of competency.</w:t>
      </w:r>
    </w:p>
    <w:p w:rsidR="00000000" w:rsidRPr="00A11BA3" w:rsidP="00A11BA3">
      <w:pPr>
        <w:pStyle w:val="Heading1"/>
      </w:pPr>
      <w:bookmarkStart w:id="7" w:name="O_1163405"/>
      <w:bookmarkEnd w:id="7"/>
      <w:r w:rsidRPr="00A11BA3">
        <w:t>Unit Mapping Information</w:t>
      </w:r>
    </w:p>
    <w:p w:rsidR="00000000" w:rsidRPr="00A11BA3" w:rsidP="007F4B70">
      <w:pPr>
        <w:pStyle w:val="BodyText"/>
      </w:pPr>
      <w:r w:rsidRPr="00A11BA3">
        <w:t>Supersedes and is equivalent to CPPFES2011A Install portable fire extinguishers and fire blankets.</w:t>
      </w:r>
    </w:p>
    <w:p w:rsidR="00000000" w:rsidRPr="00A11BA3" w:rsidP="00A11BA3">
      <w:pPr>
        <w:pStyle w:val="Heading1"/>
      </w:pPr>
      <w:bookmarkStart w:id="8" w:name="O_1163398"/>
      <w:bookmarkEnd w:id="8"/>
      <w:r w:rsidRPr="00A11BA3">
        <w:t>Links</w:t>
      </w:r>
    </w:p>
    <w:p w:rsidR="00000000" w:rsidRPr="00A11BA3" w:rsidP="007F4B70">
      <w:pPr>
        <w:pStyle w:val="BodyText"/>
      </w:pPr>
      <w:r w:rsidRPr="00A11BA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E26B6">
        <w:rPr>
          <w:rStyle w:val="Hyperlink"/>
        </w:rPr>
        <w:t>https://vetnet.gov.au/Pages/TrainingDocs.aspx?q=6f3f9672-30e8-4835-b348-205dfcf13d9b</w:t>
      </w:r>
      <w:r>
        <w:fldChar w:fldCharType="end"/>
      </w:r>
    </w:p>
    <w:p w:rsidR="00000000" w:rsidRPr="00A11BA3" w:rsidP="007F4B70">
      <w:pPr>
        <w:pStyle w:val="BodyText"/>
        <w:sectPr w:rsidSect="00A11BA3">
          <w:headerReference w:type="default" r:id="rId10"/>
          <w:footerReference w:type="default" r:id="rId11"/>
          <w:pgSz w:w="11908" w:h="16833"/>
          <w:pgMar w:top="1702" w:right="1418" w:bottom="1702" w:left="1418" w:header="992" w:footer="992" w:gutter="0"/>
          <w:cols w:space="720"/>
          <w:noEndnote/>
          <w:docGrid w:linePitch="299"/>
        </w:sectPr>
      </w:pPr>
    </w:p>
    <w:p w:rsidR="00000000" w:rsidRPr="00A11BA3" w:rsidP="00A11BA3">
      <w:pPr>
        <w:pStyle w:val="SuperHeading"/>
      </w:pPr>
      <w:r w:rsidRPr="00A11BA3">
        <w:t>Assessment Requirem</w:t>
      </w:r>
      <w:r w:rsidRPr="00A11BA3">
        <w:t>ents for CPPFES2011 Install portable fire extinguishers, fire cabinets and fire blankets</w:t>
      </w:r>
    </w:p>
    <w:p w:rsidR="00000000" w:rsidRPr="00A11BA3" w:rsidP="00A11BA3">
      <w:pPr>
        <w:pStyle w:val="Heading1"/>
      </w:pPr>
      <w:bookmarkStart w:id="9" w:name="O_1163400"/>
      <w:bookmarkEnd w:id="9"/>
      <w:r w:rsidRPr="00A11BA3">
        <w:t>Modification History</w:t>
      </w:r>
    </w:p>
    <w:tbl>
      <w:tblPr>
        <w:tblW w:w="0" w:type="auto"/>
        <w:tblLayout w:type="fixed"/>
        <w:tblCellMar>
          <w:left w:w="62" w:type="dxa"/>
          <w:right w:w="62" w:type="dxa"/>
        </w:tblCellMar>
        <w:tblLook w:val="0000"/>
      </w:tblPr>
      <w:tblGrid>
        <w:gridCol w:w="1168"/>
        <w:gridCol w:w="7734"/>
      </w:tblGrid>
      <w:tr w:rsidTr="00A11BA3">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A11BA3">
            <w:pPr>
              <w:pStyle w:val="BodyText"/>
              <w:rPr>
                <w:lang w:val="en-NZ"/>
              </w:rPr>
            </w:pPr>
            <w:r w:rsidRPr="00A11BA3">
              <w:t>Release 1</w:t>
            </w:r>
          </w:p>
        </w:tc>
        <w:tc>
          <w:tcPr>
            <w:tcW w:w="7734" w:type="dxa"/>
            <w:tcBorders>
              <w:top w:val="nil"/>
              <w:left w:val="nil"/>
              <w:bottom w:val="nil"/>
              <w:right w:val="nil"/>
            </w:tcBorders>
            <w:tcMar>
              <w:top w:w="0" w:type="dxa"/>
              <w:left w:w="62" w:type="dxa"/>
              <w:bottom w:w="0" w:type="dxa"/>
              <w:right w:w="62" w:type="dxa"/>
            </w:tcMar>
          </w:tcPr>
          <w:p w:rsidR="00000000" w:rsidRPr="00A11BA3" w:rsidP="00A11BA3">
            <w:pPr>
              <w:pStyle w:val="BodyText"/>
            </w:pPr>
            <w:r w:rsidRPr="00A11BA3">
              <w:t>This version first released with CPP Property Services Training Package Release 13.0.</w:t>
            </w:r>
          </w:p>
          <w:p w:rsidR="00000000" w:rsidRPr="00A11BA3" w:rsidP="00A11BA3">
            <w:pPr>
              <w:pStyle w:val="BodyText"/>
            </w:pPr>
            <w:r w:rsidRPr="00A11BA3">
              <w:t xml:space="preserve">Supersedes and is equivalent to </w:t>
            </w:r>
            <w:r w:rsidRPr="00A11BA3">
              <w:t>CPPFES2011A Install portable fire extinguishers and fire blankets.  Unit updated to meet the Standards for Training Packages 2012. Minor change to title.</w:t>
            </w:r>
          </w:p>
        </w:tc>
      </w:tr>
    </w:tbl>
    <w:p w:rsidR="00000000" w:rsidRPr="00A11BA3" w:rsidP="00A11BA3">
      <w:pPr>
        <w:pStyle w:val="BodyText"/>
      </w:pPr>
    </w:p>
    <w:p w:rsidR="00000000" w:rsidRPr="00A11BA3" w:rsidP="00A11BA3">
      <w:pPr>
        <w:pStyle w:val="AllowPageBreak"/>
      </w:pPr>
    </w:p>
    <w:p w:rsidR="00000000" w:rsidRPr="00A11BA3" w:rsidP="00A11BA3">
      <w:pPr>
        <w:pStyle w:val="Heading1"/>
      </w:pPr>
      <w:bookmarkStart w:id="10" w:name="O_1163403"/>
      <w:bookmarkEnd w:id="10"/>
      <w:r w:rsidRPr="00A11BA3">
        <w:t>Performance Evidence</w:t>
      </w:r>
    </w:p>
    <w:p w:rsidR="00000000" w:rsidRPr="00A11BA3" w:rsidP="007F4B70">
      <w:pPr>
        <w:pStyle w:val="BodyText"/>
      </w:pPr>
      <w:r w:rsidRPr="00A11BA3">
        <w:t>To demonstrate competency, a candidate must meet the element</w:t>
      </w:r>
      <w:r w:rsidRPr="00A11BA3">
        <w:t>s and performance criteria of this unit by installing and completing installation records for:</w:t>
      </w:r>
    </w:p>
    <w:p w:rsidR="00000000" w:rsidRPr="00A11BA3" w:rsidP="00A11BA3">
      <w:pPr>
        <w:pStyle w:val="ListBullet"/>
      </w:pPr>
      <w:r w:rsidRPr="00A11BA3">
        <w:t>one fire blanket</w:t>
      </w:r>
    </w:p>
    <w:p w:rsidR="00000000" w:rsidRPr="00A11BA3" w:rsidP="00A11BA3">
      <w:pPr>
        <w:pStyle w:val="ListBullet"/>
      </w:pPr>
      <w:r w:rsidRPr="00A11BA3">
        <w:t>two portable fire extinguishers, each onto different building materials</w:t>
      </w:r>
    </w:p>
    <w:p w:rsidR="00000000" w:rsidRPr="00A11BA3" w:rsidP="00A11BA3">
      <w:pPr>
        <w:pStyle w:val="ListBullet"/>
      </w:pPr>
      <w:r w:rsidRPr="00A11BA3">
        <w:t>one fire extinguisher and fire extinguisher cabinet combination.</w:t>
      </w:r>
    </w:p>
    <w:p w:rsidR="00000000" w:rsidRPr="00A11BA3" w:rsidP="00A11BA3">
      <w:pPr>
        <w:pStyle w:val="AllowPageBreak"/>
      </w:pPr>
    </w:p>
    <w:p w:rsidR="00000000" w:rsidRPr="00A11BA3" w:rsidP="00A11BA3">
      <w:pPr>
        <w:pStyle w:val="Heading1"/>
      </w:pPr>
      <w:bookmarkStart w:id="11" w:name="O_1163402"/>
      <w:bookmarkEnd w:id="11"/>
      <w:r w:rsidRPr="00A11BA3">
        <w:t>Knowledge Evidence</w:t>
      </w:r>
    </w:p>
    <w:p w:rsidR="00000000" w:rsidRPr="00A11BA3" w:rsidP="007F4B70">
      <w:pPr>
        <w:pStyle w:val="BodyText"/>
      </w:pPr>
      <w:r w:rsidRPr="00A11BA3">
        <w:t>To be competent in this unit, a candidate must demonstrate knowledge of:</w:t>
      </w:r>
    </w:p>
    <w:p w:rsidR="00000000" w:rsidRPr="00A11BA3" w:rsidP="00A11BA3">
      <w:pPr>
        <w:pStyle w:val="ListBullet"/>
      </w:pPr>
      <w:r w:rsidRPr="00A11BA3">
        <w:t>action to take when a breach of regulation, work health and safety (WHS) or other policy occurs when installing portable fire extinguishers, fire</w:t>
      </w:r>
      <w:r w:rsidRPr="00A11BA3">
        <w:t xml:space="preserve"> cabinets and fire blankets</w:t>
      </w:r>
    </w:p>
    <w:p w:rsidR="00000000" w:rsidRPr="00A11BA3" w:rsidP="00A11BA3">
      <w:pPr>
        <w:pStyle w:val="ListBullet"/>
      </w:pPr>
      <w:r w:rsidRPr="00A11BA3">
        <w:t>importance of compliance with legislation and standards, and implications of:</w:t>
      </w:r>
    </w:p>
    <w:p w:rsidR="00000000" w:rsidRPr="00A11BA3" w:rsidP="00A11BA3">
      <w:pPr>
        <w:pStyle w:val="ListBullet2"/>
      </w:pPr>
      <w:r w:rsidRPr="00A11BA3">
        <w:t>not applying legislative requirements to job functions</w:t>
      </w:r>
    </w:p>
    <w:p w:rsidR="00000000" w:rsidRPr="00A11BA3" w:rsidP="00A11BA3">
      <w:pPr>
        <w:pStyle w:val="ListBullet2"/>
      </w:pPr>
      <w:r w:rsidRPr="00A11BA3">
        <w:t>incorrectly determining the installation site for a fire blanket</w:t>
      </w:r>
    </w:p>
    <w:p w:rsidR="00000000" w:rsidRPr="00A11BA3" w:rsidP="00A11BA3">
      <w:pPr>
        <w:pStyle w:val="ListBullet2"/>
      </w:pPr>
      <w:r w:rsidRPr="00A11BA3">
        <w:t>incorrectly locating fire ext</w:t>
      </w:r>
      <w:r w:rsidRPr="00A11BA3">
        <w:t>inguishers and fire blankets</w:t>
      </w:r>
    </w:p>
    <w:p w:rsidR="00000000" w:rsidRPr="00A11BA3" w:rsidP="00A11BA3">
      <w:pPr>
        <w:pStyle w:val="ListBullet"/>
      </w:pPr>
      <w:r w:rsidRPr="00A11BA3">
        <w:t>key features of legislation, regulations, codes and Australian Standards relevant to the selection, positioning and installation of portable fire extinguishers, fire cabinets and fire blankets to meet the hazard present in the</w:t>
      </w:r>
      <w:r w:rsidRPr="00A11BA3">
        <w:t xml:space="preserve"> area to be protected:</w:t>
      </w:r>
    </w:p>
    <w:p w:rsidR="00000000" w:rsidRPr="00A11BA3" w:rsidP="00A11BA3">
      <w:pPr>
        <w:pStyle w:val="ListBullet2"/>
      </w:pPr>
      <w:r w:rsidRPr="00A11BA3">
        <w:t>environmental protection</w:t>
      </w:r>
    </w:p>
    <w:p w:rsidR="00000000" w:rsidRPr="00A11BA3" w:rsidP="00A11BA3">
      <w:pPr>
        <w:pStyle w:val="ListBullet2"/>
      </w:pPr>
      <w:r w:rsidRPr="00A11BA3">
        <w:t>National Construction Code (NCC) and deemed-to-satisfy requirements</w:t>
      </w:r>
    </w:p>
    <w:p w:rsidR="00000000" w:rsidRPr="00A11BA3" w:rsidP="00A11BA3">
      <w:pPr>
        <w:pStyle w:val="ListBullet2"/>
      </w:pPr>
      <w:r w:rsidRPr="00A11BA3">
        <w:t>records and documentation</w:t>
      </w:r>
    </w:p>
    <w:p w:rsidR="00000000" w:rsidRPr="00A11BA3" w:rsidP="00A11BA3">
      <w:pPr>
        <w:pStyle w:val="ListBullet"/>
      </w:pPr>
      <w:r w:rsidRPr="00A11BA3">
        <w:t>methods for determining the correct installation site for fire blankets</w:t>
      </w:r>
    </w:p>
    <w:p w:rsidR="00000000" w:rsidRPr="00A11BA3" w:rsidP="00A11BA3">
      <w:pPr>
        <w:pStyle w:val="ListBullet"/>
      </w:pPr>
      <w:r w:rsidRPr="00A11BA3">
        <w:t>methods for locating hidden 240-volt power cables, gas pipes, water pipes and other relevant utilities</w:t>
      </w:r>
    </w:p>
    <w:p w:rsidR="00000000" w:rsidRPr="00A11BA3" w:rsidP="00A11BA3">
      <w:pPr>
        <w:pStyle w:val="ListBullet"/>
      </w:pPr>
      <w:r w:rsidRPr="00A11BA3">
        <w:t>reasons for installing portable fire extinguishers in fire cabinets</w:t>
      </w:r>
    </w:p>
    <w:p w:rsidR="00000000" w:rsidRPr="00A11BA3" w:rsidP="00A11BA3">
      <w:pPr>
        <w:pStyle w:val="ListBullet"/>
      </w:pPr>
      <w:r w:rsidRPr="00A11BA3">
        <w:t>special requirements of aggressive environments such as those with high moisture, dus</w:t>
      </w:r>
      <w:r w:rsidRPr="00A11BA3">
        <w:t>t levels or acidity</w:t>
      </w:r>
    </w:p>
    <w:p w:rsidR="00000000" w:rsidRPr="00A11BA3" w:rsidP="00A11BA3">
      <w:pPr>
        <w:pStyle w:val="ListBullet"/>
      </w:pPr>
      <w:r w:rsidRPr="00A11BA3">
        <w:t>types and purpose of materials, hardware, tools and equipment used when installing portable fire extinguishers, fire cabinets and fire blankets</w:t>
      </w:r>
    </w:p>
    <w:p w:rsidR="00000000" w:rsidRPr="00A11BA3" w:rsidP="00A11BA3">
      <w:pPr>
        <w:pStyle w:val="ListBullet"/>
      </w:pPr>
      <w:r w:rsidRPr="00A11BA3">
        <w:t>types of building surfaces that may be encountered when installing fire protection equipment</w:t>
      </w:r>
      <w:r w:rsidRPr="00A11BA3">
        <w:t xml:space="preserve"> and suitable fixing methods for each to meet the load capacity of the installed fire extinguisher, fire blanket or fire cabinet</w:t>
      </w:r>
    </w:p>
    <w:p w:rsidR="00000000" w:rsidRPr="00A11BA3" w:rsidP="00A11BA3">
      <w:pPr>
        <w:pStyle w:val="ListBullet"/>
      </w:pPr>
      <w:r w:rsidRPr="00A11BA3">
        <w:t>workplace requirements for installing portable fire extinguishers, fire cabinets and fire blankets:</w:t>
      </w:r>
    </w:p>
    <w:p w:rsidR="00000000" w:rsidRPr="00A11BA3" w:rsidP="00A11BA3">
      <w:pPr>
        <w:pStyle w:val="ListBullet2"/>
      </w:pPr>
      <w:r w:rsidRPr="00A11BA3">
        <w:t>maintenance of tools and e</w:t>
      </w:r>
      <w:r w:rsidRPr="00A11BA3">
        <w:t>quipment</w:t>
      </w:r>
    </w:p>
    <w:p w:rsidR="00000000" w:rsidRPr="00A11BA3" w:rsidP="00A11BA3">
      <w:pPr>
        <w:pStyle w:val="ListBullet2"/>
      </w:pPr>
      <w:r w:rsidRPr="00A11BA3">
        <w:t>WHS, including hazard and risk identification and control.</w:t>
      </w:r>
    </w:p>
    <w:p w:rsidR="00000000" w:rsidRPr="00A11BA3" w:rsidP="00A11BA3">
      <w:pPr>
        <w:pStyle w:val="AllowPageBreak"/>
      </w:pPr>
    </w:p>
    <w:p w:rsidR="00000000" w:rsidRPr="00A11BA3" w:rsidP="00A11BA3">
      <w:pPr>
        <w:pStyle w:val="Heading1"/>
      </w:pPr>
      <w:bookmarkStart w:id="12" w:name="O_1163401"/>
      <w:bookmarkEnd w:id="12"/>
      <w:r w:rsidRPr="00A11BA3">
        <w:t>Assessment Conditions</w:t>
      </w:r>
    </w:p>
    <w:p w:rsidR="00000000" w:rsidRPr="00A11BA3" w:rsidP="007F4B70">
      <w:pPr>
        <w:pStyle w:val="BodyText"/>
      </w:pPr>
      <w:r w:rsidRPr="00A11BA3">
        <w:t xml:space="preserve">Assessors must meet the requirements for assessors contained in the Standards for Registered Training Organisations. </w:t>
      </w:r>
    </w:p>
    <w:p w:rsidR="00000000" w:rsidRPr="00A11BA3" w:rsidP="007F4B70">
      <w:pPr>
        <w:pStyle w:val="BodyText"/>
      </w:pPr>
      <w:r w:rsidRPr="00A11BA3">
        <w:t>Assessment must be conducted in the workplace or a simulated workplace using realistic conditions, materials, activities, responsibilities, procedures, safety requirements and environmental considerations.</w:t>
      </w:r>
    </w:p>
    <w:p w:rsidR="00000000" w:rsidRPr="00A11BA3" w:rsidP="007F4B70">
      <w:pPr>
        <w:pStyle w:val="BodyText"/>
      </w:pPr>
      <w:r w:rsidRPr="00A11BA3">
        <w:t>Candidates must have access to documentation, tool</w:t>
      </w:r>
      <w:r w:rsidRPr="00A11BA3">
        <w:t>s, equipment, materials, hardware and installation sites required to achieve the performance evidence.</w:t>
      </w:r>
    </w:p>
    <w:p w:rsidR="00000000" w:rsidRPr="00A11BA3" w:rsidP="00A11BA3">
      <w:pPr>
        <w:pStyle w:val="Heading1"/>
      </w:pPr>
      <w:bookmarkStart w:id="13" w:name="O_1163399"/>
      <w:bookmarkEnd w:id="13"/>
      <w:r w:rsidRPr="00A11BA3">
        <w:t>Links</w:t>
      </w:r>
    </w:p>
    <w:p w:rsidR="00000000" w:rsidRPr="00A11BA3" w:rsidP="007F4B70">
      <w:pPr>
        <w:pStyle w:val="BodyText"/>
      </w:pPr>
      <w:r w:rsidRPr="00A11BA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E26B6">
        <w:rPr>
          <w:rStyle w:val="Hyperlink"/>
        </w:rPr>
        <w:t>https://vetnet.gov.au/Pages/TrainingDocs.aspx?q=6f3f9672-30e8-4835-b348-205dfcf13d9b</w:t>
      </w:r>
      <w:r>
        <w:fldChar w:fldCharType="end"/>
      </w:r>
    </w:p>
    <w:p w:rsidR="00000000" w:rsidRPr="00A11BA3" w:rsidP="00A11BA3"/>
    <w:sectPr w:rsidSect="00A11B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A3" w:rsidRPr="007F4B70" w:rsidP="007F4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B70" w:rsidP="00A11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B70" w:rsidP="00A11B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F4B70" w:rsidP="00A11B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A3" w:rsidP="00A11BA3">
    <w:pPr>
      <w:pStyle w:val="Footer"/>
      <w:framePr w:wrap="around"/>
    </w:pPr>
    <w:r>
      <w:fldChar w:fldCharType="begin"/>
    </w:r>
    <w:r>
      <w:instrText xml:space="preserve"> DOCPROPERTY  Subject  \* MERGEFORMAT </w:instrText>
    </w:r>
    <w:r>
      <w:fldChar w:fldCharType="separate"/>
    </w:r>
    <w:r w:rsidR="007F4B70">
      <w:t>Approved</w:t>
    </w:r>
    <w:r w:rsidR="007F4B70">
      <w:fldChar w:fldCharType="end"/>
    </w:r>
    <w:r>
      <w:tab/>
      <w:t xml:space="preserve">Page </w:t>
    </w:r>
    <w:r>
      <w:fldChar w:fldCharType="begin"/>
    </w:r>
    <w:r>
      <w:instrText xml:space="preserve"> PAGE  \* Arabic  \* MERGEFORMAT </w:instrText>
    </w:r>
    <w:r>
      <w:fldChar w:fldCharType="separate"/>
    </w:r>
    <w:r w:rsidR="007F4B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B70">
      <w:rPr>
        <w:noProof/>
      </w:rPr>
      <w:t>4</w:t>
    </w:r>
    <w:r>
      <w:rPr>
        <w:noProof/>
      </w:rPr>
      <w:fldChar w:fldCharType="end"/>
    </w:r>
  </w:p>
  <w:p w:rsidR="00A11BA3" w:rsidP="00A11BA3">
    <w:pPr>
      <w:pStyle w:val="Footer"/>
      <w:framePr w:wrap="around"/>
    </w:pPr>
    <w:r>
      <w:t xml:space="preserve">© Commonwealth of Australia, </w:t>
    </w:r>
    <w:r>
      <w:fldChar w:fldCharType="begin"/>
    </w:r>
    <w:r>
      <w:instrText xml:space="preserve"> DATE  \@ "yyyy"  \* MERGEFORMAT </w:instrText>
    </w:r>
    <w:r>
      <w:fldChar w:fldCharType="separate"/>
    </w:r>
    <w:r w:rsidR="007F4B70">
      <w:rPr>
        <w:noProof/>
      </w:rPr>
      <w:t>2025</w:t>
    </w:r>
    <w:r>
      <w:fldChar w:fldCharType="end"/>
    </w:r>
    <w:r>
      <w:tab/>
    </w:r>
    <w:r>
      <w:fldChar w:fldCharType="begin"/>
    </w:r>
    <w:r>
      <w:instrText xml:space="preserve"> DOCPROPERTY  Author  \* MERGEFORMAT </w:instrText>
    </w:r>
    <w:r>
      <w:fldChar w:fldCharType="separate"/>
    </w:r>
    <w:r w:rsidR="007F4B70">
      <w:t>BuildSkills Australia</w:t>
    </w:r>
    <w:r w:rsidR="007F4B70">
      <w:fldChar w:fldCharType="end"/>
    </w:r>
  </w:p>
  <w:p w:rsidR="00A11BA3" w:rsidP="00A11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B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BA3" w:rsidRPr="007F4B70" w:rsidP="007F4B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B70" w:rsidRPr="002D2AF8" w:rsidP="00A11BA3">
    <w:pPr>
      <w:pStyle w:val="Header"/>
      <w:framePr w:wrap="around"/>
    </w:pPr>
    <w:r>
      <w:fldChar w:fldCharType="begin"/>
    </w:r>
    <w:r>
      <w:instrText xml:space="preserve"> TITLE   \* MERGEFORMAT </w:instrText>
    </w:r>
    <w:r>
      <w:fldChar w:fldCharType="separate"/>
    </w:r>
    <w:r>
      <w:t>CPPFES2011 Install portable fire extinguishers, fire cabinets and fire blankets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4B70" w:rsidP="00A11B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A3" w:rsidRPr="002D2AF8" w:rsidP="00A11BA3">
    <w:pPr>
      <w:pStyle w:val="Header"/>
      <w:framePr w:wrap="around"/>
    </w:pPr>
    <w:r>
      <w:fldChar w:fldCharType="begin"/>
    </w:r>
    <w:r>
      <w:instrText xml:space="preserve"> TITLE   \* MERGEFORMAT </w:instrText>
    </w:r>
    <w:r>
      <w:fldChar w:fldCharType="separate"/>
    </w:r>
    <w:r w:rsidR="007F4B70">
      <w:t>CPPFES2011 Install portable fire extinguishers, fire cabinets and fire blankets</w:t>
    </w:r>
    <w:r w:rsidR="007F4B70">
      <w:fldChar w:fldCharType="end"/>
    </w:r>
    <w:r>
      <w:tab/>
      <w:t xml:space="preserve">Date this document was generated: </w:t>
    </w:r>
    <w:r>
      <w:fldChar w:fldCharType="begin"/>
    </w:r>
    <w:r>
      <w:instrText xml:space="preserve"> CREATEDATE  \@ "d MMMM yyyy"  \* MERGEFORMAT </w:instrText>
    </w:r>
    <w:r>
      <w:fldChar w:fldCharType="separate"/>
    </w:r>
    <w:r w:rsidR="007F4B70">
      <w:rPr>
        <w:noProof/>
      </w:rPr>
      <w:t>2 March 2025</w:t>
    </w:r>
    <w:r>
      <w:fldChar w:fldCharType="end"/>
    </w:r>
  </w:p>
  <w:p w:rsidR="00A11BA3" w:rsidP="00A11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0E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21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A2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BA3"/>
    <w:pPr>
      <w:spacing w:before="360" w:after="60"/>
      <w:outlineLvl w:val="0"/>
    </w:pPr>
    <w:rPr>
      <w:sz w:val="32"/>
    </w:rPr>
  </w:style>
  <w:style w:type="paragraph" w:styleId="Heading2">
    <w:name w:val="heading 2"/>
    <w:basedOn w:val="HeadingBase"/>
    <w:next w:val="BodyText"/>
    <w:link w:val="Heading2Char"/>
    <w:qFormat/>
    <w:rsid w:val="00A11BA3"/>
    <w:pPr>
      <w:keepLines/>
      <w:spacing w:before="240" w:after="120"/>
      <w:outlineLvl w:val="1"/>
    </w:pPr>
    <w:rPr>
      <w:sz w:val="28"/>
      <w:szCs w:val="40"/>
    </w:rPr>
  </w:style>
  <w:style w:type="paragraph" w:styleId="Heading3">
    <w:name w:val="heading 3"/>
    <w:basedOn w:val="HeadingBase"/>
    <w:next w:val="BodyText"/>
    <w:link w:val="Heading3Char"/>
    <w:qFormat/>
    <w:rsid w:val="00A11BA3"/>
    <w:pPr>
      <w:spacing w:before="180" w:after="120"/>
      <w:outlineLvl w:val="2"/>
    </w:pPr>
    <w:rPr>
      <w:spacing w:val="-10"/>
      <w:kern w:val="32"/>
    </w:rPr>
  </w:style>
  <w:style w:type="paragraph" w:styleId="Heading4">
    <w:name w:val="heading 4"/>
    <w:basedOn w:val="HeadingBase"/>
    <w:next w:val="BodyText"/>
    <w:link w:val="Heading4Char"/>
    <w:qFormat/>
    <w:rsid w:val="00A11BA3"/>
    <w:pPr>
      <w:spacing w:before="160" w:after="120"/>
      <w:outlineLvl w:val="3"/>
    </w:pPr>
    <w:rPr>
      <w:sz w:val="22"/>
    </w:rPr>
  </w:style>
  <w:style w:type="paragraph" w:styleId="Heading5">
    <w:name w:val="heading 5"/>
    <w:basedOn w:val="HeadingBase"/>
    <w:next w:val="Normal"/>
    <w:link w:val="Heading5Char"/>
    <w:qFormat/>
    <w:rsid w:val="00A11BA3"/>
    <w:pPr>
      <w:spacing w:before="80"/>
      <w:outlineLvl w:val="4"/>
    </w:pPr>
    <w:rPr>
      <w:color w:val="918585"/>
      <w:sz w:val="20"/>
    </w:rPr>
  </w:style>
  <w:style w:type="paragraph" w:styleId="Heading6">
    <w:name w:val="heading 6"/>
    <w:basedOn w:val="HeadingBase"/>
    <w:next w:val="Normal"/>
    <w:link w:val="Heading6Char"/>
    <w:qFormat/>
    <w:rsid w:val="00A11BA3"/>
    <w:pPr>
      <w:spacing w:before="60"/>
      <w:outlineLvl w:val="5"/>
    </w:pPr>
    <w:rPr>
      <w:color w:val="918585"/>
      <w:sz w:val="20"/>
    </w:rPr>
  </w:style>
  <w:style w:type="paragraph" w:styleId="Heading7">
    <w:name w:val="heading 7"/>
    <w:basedOn w:val="Normal"/>
    <w:next w:val="Normal"/>
    <w:link w:val="Heading7Char"/>
    <w:qFormat/>
    <w:rsid w:val="00A11BA3"/>
    <w:pPr>
      <w:ind w:left="720"/>
      <w:outlineLvl w:val="6"/>
    </w:pPr>
    <w:rPr>
      <w:i/>
    </w:rPr>
  </w:style>
  <w:style w:type="paragraph" w:styleId="Heading8">
    <w:name w:val="heading 8"/>
    <w:basedOn w:val="Normal"/>
    <w:next w:val="Normal"/>
    <w:link w:val="Heading8Char"/>
    <w:qFormat/>
    <w:rsid w:val="00A11BA3"/>
    <w:pPr>
      <w:ind w:left="720"/>
      <w:outlineLvl w:val="7"/>
    </w:pPr>
    <w:rPr>
      <w:i/>
    </w:rPr>
  </w:style>
  <w:style w:type="paragraph" w:styleId="Heading9">
    <w:name w:val="heading 9"/>
    <w:basedOn w:val="Normal"/>
    <w:next w:val="Normal"/>
    <w:link w:val="Heading9Char"/>
    <w:qFormat/>
    <w:rsid w:val="00A11BA3"/>
    <w:pPr>
      <w:ind w:left="720"/>
      <w:outlineLvl w:val="8"/>
    </w:pPr>
    <w:rPr>
      <w:i/>
    </w:rPr>
  </w:style>
  <w:style w:type="character" w:default="1" w:styleId="DefaultParagraphFont">
    <w:name w:val="Default Paragraph Font"/>
    <w:uiPriority w:val="1"/>
    <w:unhideWhenUsed/>
    <w:rsid w:val="00A11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BA3"/>
  </w:style>
  <w:style w:type="character" w:customStyle="1" w:styleId="Heading1Char">
    <w:name w:val="Heading 1 Char"/>
    <w:basedOn w:val="DefaultParagraphFont"/>
    <w:link w:val="Heading1"/>
    <w:rsid w:val="00A11BA3"/>
    <w:rPr>
      <w:rFonts w:ascii="Times New Roman" w:eastAsia="Times New Roman" w:hAnsi="Times New Roman" w:cs="Times New Roman"/>
      <w:b/>
      <w:sz w:val="32"/>
      <w:szCs w:val="20"/>
      <w:lang w:eastAsia="en-US"/>
    </w:rPr>
  </w:style>
  <w:style w:type="paragraph" w:styleId="BodyText">
    <w:name w:val="Body Text"/>
    <w:basedOn w:val="Normal"/>
    <w:link w:val="BodyTextChar"/>
    <w:rsid w:val="00A11B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BA3"/>
    <w:rPr>
      <w:rFonts w:ascii="Times New Roman" w:eastAsia="Times New Roman" w:hAnsi="Times New Roman" w:cs="Times New Roman"/>
      <w:sz w:val="24"/>
      <w:lang w:eastAsia="en-US"/>
    </w:rPr>
  </w:style>
  <w:style w:type="paragraph" w:styleId="ListBullet">
    <w:name w:val="List Bullet"/>
    <w:basedOn w:val="List"/>
    <w:rsid w:val="00A11BA3"/>
    <w:pPr>
      <w:numPr>
        <w:numId w:val="12"/>
      </w:numPr>
      <w:tabs>
        <w:tab w:val="clear" w:pos="340"/>
      </w:tabs>
      <w:spacing w:before="40" w:after="40"/>
    </w:pPr>
  </w:style>
  <w:style w:type="paragraph" w:styleId="ListBullet2">
    <w:name w:val="List Bullet 2"/>
    <w:basedOn w:val="List2"/>
    <w:rsid w:val="00A11BA3"/>
    <w:pPr>
      <w:numPr>
        <w:numId w:val="13"/>
      </w:numPr>
      <w:tabs>
        <w:tab w:val="clear" w:pos="680"/>
      </w:tabs>
    </w:pPr>
  </w:style>
  <w:style w:type="paragraph" w:customStyle="1" w:styleId="SuperHeading">
    <w:name w:val="SuperHeading"/>
    <w:basedOn w:val="Normal"/>
    <w:rsid w:val="00A11BA3"/>
    <w:pPr>
      <w:spacing w:before="240" w:after="120"/>
      <w:outlineLvl w:val="0"/>
    </w:pPr>
    <w:rPr>
      <w:rFonts w:ascii="Times New Roman" w:hAnsi="Times New Roman"/>
      <w:b/>
      <w:sz w:val="32"/>
    </w:rPr>
  </w:style>
  <w:style w:type="paragraph" w:customStyle="1" w:styleId="AllowPageBreak">
    <w:name w:val="AllowPageBreak"/>
    <w:rsid w:val="00A11B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BA3"/>
    <w:rPr>
      <w:rFonts w:ascii="Courier New" w:eastAsia="Times New Roman" w:hAnsi="Courier New" w:cs="Times New Roman"/>
      <w:i/>
      <w:szCs w:val="20"/>
      <w:lang w:eastAsia="en-US"/>
    </w:rPr>
  </w:style>
  <w:style w:type="paragraph" w:customStyle="1" w:styleId="HeadingBase">
    <w:name w:val="Heading Base"/>
    <w:rsid w:val="00A11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BA3"/>
    <w:pPr>
      <w:tabs>
        <w:tab w:val="right" w:leader="dot" w:pos="9072"/>
      </w:tabs>
      <w:ind w:left="567"/>
    </w:pPr>
    <w:rPr>
      <w:szCs w:val="22"/>
    </w:rPr>
  </w:style>
  <w:style w:type="paragraph" w:customStyle="1" w:styleId="TOCBase">
    <w:name w:val="TOC Base"/>
    <w:rsid w:val="00A11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BA3"/>
    <w:pPr>
      <w:tabs>
        <w:tab w:val="right" w:leader="dot" w:pos="9072"/>
      </w:tabs>
      <w:spacing w:before="40" w:after="40"/>
      <w:ind w:left="284"/>
    </w:pPr>
    <w:rPr>
      <w:rFonts w:ascii="Times New Roman" w:hAnsi="Times New Roman"/>
    </w:rPr>
  </w:style>
  <w:style w:type="paragraph" w:styleId="TOC1">
    <w:name w:val="toc 1"/>
    <w:basedOn w:val="TOCBase"/>
    <w:next w:val="Normal"/>
    <w:rsid w:val="00A11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BA3"/>
    <w:rPr>
      <w:rFonts w:ascii="Times New Roman" w:eastAsia="Times New Roman" w:hAnsi="Times New Roman" w:cs="Times New Roman"/>
      <w:sz w:val="16"/>
      <w:lang w:eastAsia="en-US"/>
    </w:rPr>
  </w:style>
  <w:style w:type="paragraph" w:styleId="Title">
    <w:name w:val="Title"/>
    <w:basedOn w:val="HeadingBase"/>
    <w:link w:val="TitleChar"/>
    <w:qFormat/>
    <w:rsid w:val="00A11BA3"/>
    <w:pPr>
      <w:spacing w:before="5040"/>
      <w:jc w:val="center"/>
    </w:pPr>
    <w:rPr>
      <w:sz w:val="48"/>
      <w:szCs w:val="72"/>
      <w:lang w:val="en-US"/>
    </w:rPr>
  </w:style>
  <w:style w:type="character" w:customStyle="1" w:styleId="TitleChar">
    <w:name w:val="Title Char"/>
    <w:basedOn w:val="DefaultParagraphFont"/>
    <w:link w:val="Title"/>
    <w:rsid w:val="00A11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BA3"/>
    <w:pPr>
      <w:tabs>
        <w:tab w:val="left" w:pos="3600"/>
        <w:tab w:val="left" w:pos="3958"/>
      </w:tabs>
    </w:pPr>
  </w:style>
  <w:style w:type="paragraph" w:styleId="List">
    <w:name w:val="List"/>
    <w:basedOn w:val="BodyText"/>
    <w:next w:val="BodyText"/>
    <w:rsid w:val="00A11BA3"/>
    <w:pPr>
      <w:tabs>
        <w:tab w:val="left" w:pos="340"/>
      </w:tabs>
      <w:spacing w:before="60" w:after="60"/>
      <w:ind w:left="340" w:hanging="340"/>
    </w:pPr>
  </w:style>
  <w:style w:type="paragraph" w:customStyle="1" w:styleId="Note">
    <w:name w:val="Note"/>
    <w:basedOn w:val="BodyText"/>
    <w:rsid w:val="00A11B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1BA3"/>
    <w:rPr>
      <w:b/>
      <w:spacing w:val="0"/>
    </w:rPr>
  </w:style>
  <w:style w:type="paragraph" w:customStyle="1" w:styleId="SuperTitle">
    <w:name w:val="SuperTitle"/>
    <w:basedOn w:val="Title"/>
    <w:rsid w:val="00A11BA3"/>
    <w:pPr>
      <w:framePr w:wrap="auto" w:hAnchor="text" w:y="6049"/>
    </w:pPr>
    <w:rPr>
      <w:color w:val="000000"/>
      <w:sz w:val="40"/>
    </w:rPr>
  </w:style>
  <w:style w:type="paragraph" w:customStyle="1" w:styleId="TOCTitle">
    <w:name w:val="TOCTitle"/>
    <w:basedOn w:val="Heading1"/>
    <w:rsid w:val="00A11BA3"/>
    <w:pPr>
      <w:spacing w:after="240"/>
      <w:jc w:val="center"/>
      <w:outlineLvl w:val="9"/>
    </w:pPr>
    <w:rPr>
      <w:caps/>
    </w:rPr>
  </w:style>
  <w:style w:type="paragraph" w:customStyle="1" w:styleId="Version">
    <w:name w:val="Version"/>
    <w:rsid w:val="00A11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BA3"/>
    <w:pPr>
      <w:keepNext w:val="0"/>
      <w:tabs>
        <w:tab w:val="right" w:pos="4176"/>
      </w:tabs>
      <w:ind w:left="198" w:hanging="198"/>
    </w:pPr>
    <w:rPr>
      <w:rFonts w:ascii="Garamond" w:hAnsi="Garamond"/>
    </w:rPr>
  </w:style>
  <w:style w:type="paragraph" w:styleId="IndexHeading">
    <w:name w:val="index heading"/>
    <w:basedOn w:val="Normal"/>
    <w:next w:val="Index1"/>
    <w:semiHidden/>
    <w:rsid w:val="00A11BA3"/>
    <w:pPr>
      <w:spacing w:before="120" w:after="120"/>
    </w:pPr>
    <w:rPr>
      <w:rFonts w:ascii="Arial" w:hAnsi="Arial"/>
      <w:b/>
      <w:color w:val="918585"/>
      <w:sz w:val="24"/>
    </w:rPr>
  </w:style>
  <w:style w:type="paragraph" w:styleId="Header">
    <w:name w:val="header"/>
    <w:basedOn w:val="Normal"/>
    <w:link w:val="HeaderChar"/>
    <w:rsid w:val="00A11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BA3"/>
    <w:rPr>
      <w:rFonts w:ascii="Times New Roman" w:eastAsia="Times New Roman" w:hAnsi="Times New Roman" w:cs="Times New Roman"/>
      <w:sz w:val="16"/>
      <w:szCs w:val="20"/>
      <w:lang w:val="en-GB" w:eastAsia="en-US"/>
    </w:rPr>
  </w:style>
  <w:style w:type="paragraph" w:customStyle="1" w:styleId="Chapter">
    <w:name w:val="Chapter"/>
    <w:basedOn w:val="Normal"/>
    <w:rsid w:val="00A11BA3"/>
    <w:pPr>
      <w:spacing w:before="240"/>
    </w:pPr>
    <w:rPr>
      <w:rFonts w:ascii="Times New Roman" w:hAnsi="Times New Roman"/>
      <w:smallCaps/>
      <w:spacing w:val="80"/>
      <w:sz w:val="28"/>
    </w:rPr>
  </w:style>
  <w:style w:type="paragraph" w:customStyle="1" w:styleId="InChapter">
    <w:name w:val="InChapter"/>
    <w:basedOn w:val="Heading3"/>
    <w:rsid w:val="00A11BA3"/>
    <w:pPr>
      <w:spacing w:after="240"/>
      <w:outlineLvl w:val="9"/>
    </w:pPr>
    <w:rPr>
      <w:noProof/>
    </w:rPr>
  </w:style>
  <w:style w:type="paragraph" w:styleId="Index2">
    <w:name w:val="index 2"/>
    <w:basedOn w:val="Normal"/>
    <w:next w:val="Normal"/>
    <w:semiHidden/>
    <w:rsid w:val="00A11BA3"/>
    <w:pPr>
      <w:tabs>
        <w:tab w:val="right" w:pos="4176"/>
      </w:tabs>
      <w:ind w:left="568" w:hanging="284"/>
    </w:pPr>
    <w:rPr>
      <w:rFonts w:ascii="Garamond" w:hAnsi="Garamond"/>
    </w:rPr>
  </w:style>
  <w:style w:type="paragraph" w:customStyle="1" w:styleId="Byline">
    <w:name w:val="Byline"/>
    <w:rsid w:val="00A11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BA3"/>
    <w:pPr>
      <w:tabs>
        <w:tab w:val="clear" w:pos="3600"/>
        <w:tab w:val="clear" w:pos="3958"/>
      </w:tabs>
      <w:jc w:val="right"/>
    </w:pPr>
  </w:style>
  <w:style w:type="character" w:styleId="Emphasis">
    <w:name w:val="Emphasis"/>
    <w:basedOn w:val="DefaultParagraphFont"/>
    <w:qFormat/>
    <w:rsid w:val="00A11BA3"/>
    <w:rPr>
      <w:i/>
    </w:rPr>
  </w:style>
  <w:style w:type="paragraph" w:styleId="Caption">
    <w:name w:val="caption"/>
    <w:basedOn w:val="BodyText"/>
    <w:next w:val="Normal"/>
    <w:qFormat/>
    <w:rsid w:val="00A11BA3"/>
    <w:pPr>
      <w:framePr w:w="2268" w:hSpace="181" w:vSpace="181" w:wrap="around" w:vAnchor="text" w:hAnchor="page" w:x="1135" w:y="285" w:anchorLock="1"/>
    </w:pPr>
    <w:rPr>
      <w:i/>
    </w:rPr>
  </w:style>
  <w:style w:type="paragraph" w:customStyle="1" w:styleId="MiniTOCTitle">
    <w:name w:val="MiniTOCTitle"/>
    <w:basedOn w:val="Heading4"/>
    <w:rsid w:val="00A11BA3"/>
    <w:pPr>
      <w:spacing w:before="240"/>
      <w:outlineLvl w:val="9"/>
    </w:pPr>
    <w:rPr>
      <w:noProof/>
      <w:sz w:val="24"/>
    </w:rPr>
  </w:style>
  <w:style w:type="paragraph" w:customStyle="1" w:styleId="MiniTOCItem">
    <w:name w:val="MiniTOCItem"/>
    <w:basedOn w:val="ListBullet"/>
    <w:rsid w:val="00A11BA3"/>
    <w:pPr>
      <w:numPr>
        <w:numId w:val="0"/>
      </w:numPr>
      <w:tabs>
        <w:tab w:val="right" w:leader="dot" w:pos="6521"/>
      </w:tabs>
      <w:spacing w:before="0" w:after="0"/>
    </w:pPr>
  </w:style>
  <w:style w:type="paragraph" w:customStyle="1" w:styleId="TOFTitle">
    <w:name w:val="TOFTitle"/>
    <w:basedOn w:val="TOCTitle"/>
    <w:rsid w:val="00A11BA3"/>
  </w:style>
  <w:style w:type="paragraph" w:styleId="TableofFigures">
    <w:name w:val="table of figures"/>
    <w:basedOn w:val="Normal"/>
    <w:next w:val="Normal"/>
    <w:semiHidden/>
    <w:rsid w:val="00A11BA3"/>
    <w:pPr>
      <w:tabs>
        <w:tab w:val="right" w:leader="dot" w:pos="9072"/>
      </w:tabs>
      <w:ind w:left="970" w:hanging="403"/>
    </w:pPr>
    <w:rPr>
      <w:rFonts w:ascii="Times New Roman" w:hAnsi="Times New Roman"/>
      <w:b/>
    </w:rPr>
  </w:style>
  <w:style w:type="paragraph" w:styleId="ListNumber">
    <w:name w:val="List Number"/>
    <w:basedOn w:val="List"/>
    <w:rsid w:val="00A11BA3"/>
    <w:pPr>
      <w:numPr>
        <w:numId w:val="15"/>
      </w:numPr>
      <w:tabs>
        <w:tab w:val="clear" w:pos="340"/>
      </w:tabs>
    </w:pPr>
  </w:style>
  <w:style w:type="character" w:customStyle="1" w:styleId="WingdingSymbols">
    <w:name w:val="Wingding Symbols"/>
    <w:rsid w:val="00A11BA3"/>
    <w:rPr>
      <w:rFonts w:ascii="Wingdings" w:hAnsi="Wingdings"/>
    </w:rPr>
  </w:style>
  <w:style w:type="paragraph" w:customStyle="1" w:styleId="TableHeading">
    <w:name w:val="Table Heading"/>
    <w:basedOn w:val="HeadingBase"/>
    <w:rsid w:val="00A11BA3"/>
    <w:pPr>
      <w:keepLines/>
      <w:pBdr>
        <w:bottom w:val="single" w:sz="6" w:space="1" w:color="918585"/>
      </w:pBdr>
      <w:spacing w:before="240"/>
    </w:pPr>
  </w:style>
  <w:style w:type="character" w:customStyle="1" w:styleId="HotSpot">
    <w:name w:val="HotSpot"/>
    <w:rsid w:val="00A11BA3"/>
    <w:rPr>
      <w:color w:val="0033CC"/>
      <w:u w:val="none"/>
    </w:rPr>
  </w:style>
  <w:style w:type="paragraph" w:customStyle="1" w:styleId="BodyTextRight">
    <w:name w:val="Body Text Right"/>
    <w:basedOn w:val="BodyText"/>
    <w:rsid w:val="00A11BA3"/>
    <w:pPr>
      <w:spacing w:before="0" w:after="0"/>
      <w:jc w:val="right"/>
    </w:pPr>
  </w:style>
  <w:style w:type="paragraph" w:styleId="Index3">
    <w:name w:val="index 3"/>
    <w:basedOn w:val="ListNumber2"/>
    <w:next w:val="Normal"/>
    <w:semiHidden/>
    <w:rsid w:val="00A11BA3"/>
    <w:pPr>
      <w:numPr>
        <w:numId w:val="0"/>
      </w:numPr>
      <w:tabs>
        <w:tab w:val="right" w:leader="dot" w:pos="4176"/>
      </w:tabs>
    </w:pPr>
  </w:style>
  <w:style w:type="paragraph" w:styleId="ListNumber2">
    <w:name w:val="List Number 2"/>
    <w:basedOn w:val="List2"/>
    <w:rsid w:val="00A11BA3"/>
    <w:pPr>
      <w:numPr>
        <w:numId w:val="10"/>
      </w:numPr>
      <w:tabs>
        <w:tab w:val="clear" w:pos="1060"/>
      </w:tabs>
    </w:pPr>
  </w:style>
  <w:style w:type="paragraph" w:customStyle="1" w:styleId="MarginNote">
    <w:name w:val="Margin Note"/>
    <w:basedOn w:val="BodyText"/>
    <w:rsid w:val="00A11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BA3"/>
    <w:rPr>
      <w:sz w:val="32"/>
    </w:rPr>
  </w:style>
  <w:style w:type="paragraph" w:customStyle="1" w:styleId="HeadingProcedure">
    <w:name w:val="Heading Procedure"/>
    <w:basedOn w:val="HeadingBase"/>
    <w:next w:val="Normal"/>
    <w:rsid w:val="00A11BA3"/>
    <w:pPr>
      <w:tabs>
        <w:tab w:val="left" w:pos="0"/>
      </w:tabs>
      <w:spacing w:before="120" w:after="60"/>
    </w:pPr>
    <w:rPr>
      <w:i/>
      <w:color w:val="918585"/>
      <w:sz w:val="22"/>
    </w:rPr>
  </w:style>
  <w:style w:type="paragraph" w:customStyle="1" w:styleId="TableBodyText">
    <w:name w:val="Table Body Text"/>
    <w:basedOn w:val="BodyText"/>
    <w:rsid w:val="00A11BA3"/>
    <w:pPr>
      <w:spacing w:before="60" w:after="60"/>
    </w:pPr>
  </w:style>
  <w:style w:type="paragraph" w:styleId="ListContinue">
    <w:name w:val="List Continue"/>
    <w:basedOn w:val="List"/>
    <w:rsid w:val="00A11BA3"/>
    <w:pPr>
      <w:ind w:firstLine="0"/>
    </w:pPr>
  </w:style>
  <w:style w:type="paragraph" w:customStyle="1" w:styleId="ListNote">
    <w:name w:val="List Note"/>
    <w:basedOn w:val="List"/>
    <w:rsid w:val="00A11BA3"/>
    <w:pPr>
      <w:pBdr>
        <w:top w:val="single" w:sz="6" w:space="2" w:color="918585"/>
        <w:bottom w:val="single" w:sz="6" w:space="2" w:color="918585"/>
      </w:pBdr>
      <w:tabs>
        <w:tab w:val="left" w:pos="1021"/>
      </w:tabs>
      <w:ind w:firstLine="0"/>
    </w:pPr>
  </w:style>
  <w:style w:type="paragraph" w:customStyle="1" w:styleId="Warning">
    <w:name w:val="Warning"/>
    <w:basedOn w:val="BodyText"/>
    <w:rsid w:val="00A11BA3"/>
    <w:pPr>
      <w:shd w:val="clear" w:color="auto" w:fill="D9D9D9"/>
      <w:tabs>
        <w:tab w:val="left" w:pos="992"/>
      </w:tabs>
      <w:ind w:left="119" w:right="119"/>
    </w:pPr>
    <w:rPr>
      <w:sz w:val="20"/>
    </w:rPr>
  </w:style>
  <w:style w:type="paragraph" w:customStyle="1" w:styleId="MarginIcons">
    <w:name w:val="Margin Icons"/>
    <w:basedOn w:val="BodyText"/>
    <w:rsid w:val="00A11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BA3"/>
    <w:rPr>
      <w:rFonts w:ascii="Courier New" w:hAnsi="Courier New"/>
    </w:rPr>
  </w:style>
  <w:style w:type="paragraph" w:customStyle="1" w:styleId="NoteBullet">
    <w:name w:val="Note Bullet"/>
    <w:basedOn w:val="Note"/>
    <w:rsid w:val="00A11BA3"/>
    <w:pPr>
      <w:tabs>
        <w:tab w:val="clear" w:pos="680"/>
      </w:tabs>
      <w:spacing w:before="60" w:after="60"/>
    </w:pPr>
  </w:style>
  <w:style w:type="paragraph" w:customStyle="1" w:styleId="SubHeading2">
    <w:name w:val="SubHeading2"/>
    <w:basedOn w:val="HeadingBase"/>
    <w:rsid w:val="00A11BA3"/>
    <w:pPr>
      <w:spacing w:before="240" w:after="60"/>
    </w:pPr>
    <w:rPr>
      <w:sz w:val="20"/>
    </w:rPr>
  </w:style>
  <w:style w:type="paragraph" w:customStyle="1" w:styleId="SubHeading1">
    <w:name w:val="SubHeading1"/>
    <w:basedOn w:val="HeadingBase"/>
    <w:rsid w:val="00A11BA3"/>
    <w:pPr>
      <w:spacing w:before="240" w:after="60"/>
    </w:pPr>
    <w:rPr>
      <w:color w:val="918585"/>
      <w:sz w:val="22"/>
    </w:rPr>
  </w:style>
  <w:style w:type="paragraph" w:customStyle="1" w:styleId="SideHeading">
    <w:name w:val="Side Heading"/>
    <w:basedOn w:val="HeadingBase"/>
    <w:rsid w:val="00A11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BA3"/>
    <w:pPr>
      <w:tabs>
        <w:tab w:val="num" w:pos="360"/>
      </w:tabs>
    </w:pPr>
  </w:style>
  <w:style w:type="paragraph" w:styleId="PlainText">
    <w:name w:val="Plain Text"/>
    <w:basedOn w:val="Normal"/>
    <w:link w:val="PlainTextChar"/>
    <w:rsid w:val="00A11BA3"/>
    <w:rPr>
      <w:sz w:val="20"/>
    </w:rPr>
  </w:style>
  <w:style w:type="character" w:customStyle="1" w:styleId="PlainTextChar">
    <w:name w:val="Plain Text Char"/>
    <w:basedOn w:val="DefaultParagraphFont"/>
    <w:link w:val="PlainText"/>
    <w:rsid w:val="00A11BA3"/>
    <w:rPr>
      <w:rFonts w:ascii="Courier New" w:eastAsia="Times New Roman" w:hAnsi="Courier New" w:cs="Times New Roman"/>
      <w:sz w:val="20"/>
      <w:szCs w:val="20"/>
      <w:lang w:eastAsia="en-US"/>
    </w:rPr>
  </w:style>
  <w:style w:type="character" w:customStyle="1" w:styleId="MenuOption">
    <w:name w:val="Menu Option"/>
    <w:basedOn w:val="DefaultParagraphFont"/>
    <w:rsid w:val="00A11BA3"/>
    <w:rPr>
      <w:b/>
      <w:smallCaps/>
    </w:rPr>
  </w:style>
  <w:style w:type="paragraph" w:customStyle="1" w:styleId="TableListNumber">
    <w:name w:val="Table List Number"/>
    <w:basedOn w:val="ListNumber"/>
    <w:rsid w:val="00A11BA3"/>
    <w:pPr>
      <w:numPr>
        <w:numId w:val="0"/>
      </w:numPr>
    </w:pPr>
  </w:style>
  <w:style w:type="paragraph" w:styleId="TOC4">
    <w:name w:val="toc 4"/>
    <w:basedOn w:val="TOCBase"/>
    <w:next w:val="Normal"/>
    <w:semiHidden/>
    <w:rsid w:val="00A11BA3"/>
    <w:pPr>
      <w:tabs>
        <w:tab w:val="right" w:leader="dot" w:pos="9071"/>
      </w:tabs>
      <w:ind w:left="1701"/>
    </w:pPr>
  </w:style>
  <w:style w:type="paragraph" w:customStyle="1" w:styleId="ListAlpha">
    <w:name w:val="List Alpha"/>
    <w:basedOn w:val="List"/>
    <w:rsid w:val="00A11BA3"/>
    <w:pPr>
      <w:numPr>
        <w:numId w:val="9"/>
      </w:numPr>
    </w:pPr>
  </w:style>
  <w:style w:type="paragraph" w:customStyle="1" w:styleId="ListAlpha2">
    <w:name w:val="List Alpha 2"/>
    <w:basedOn w:val="List2"/>
    <w:rsid w:val="00A11BA3"/>
    <w:pPr>
      <w:numPr>
        <w:numId w:val="8"/>
      </w:numPr>
    </w:pPr>
  </w:style>
  <w:style w:type="paragraph" w:styleId="List2">
    <w:name w:val="List 2"/>
    <w:basedOn w:val="BodyText"/>
    <w:rsid w:val="00A11BA3"/>
    <w:pPr>
      <w:tabs>
        <w:tab w:val="left" w:pos="680"/>
      </w:tabs>
      <w:spacing w:before="60" w:after="60"/>
      <w:ind w:left="680" w:hanging="340"/>
    </w:pPr>
  </w:style>
  <w:style w:type="paragraph" w:styleId="List3">
    <w:name w:val="List 3"/>
    <w:basedOn w:val="BodyText"/>
    <w:rsid w:val="00A11BA3"/>
    <w:pPr>
      <w:tabs>
        <w:tab w:val="left" w:pos="1021"/>
      </w:tabs>
      <w:spacing w:before="60" w:after="60"/>
      <w:ind w:left="1020" w:hanging="340"/>
    </w:pPr>
  </w:style>
  <w:style w:type="paragraph" w:styleId="List4">
    <w:name w:val="List 4"/>
    <w:basedOn w:val="BodyText"/>
    <w:rsid w:val="00A11BA3"/>
    <w:pPr>
      <w:tabs>
        <w:tab w:val="left" w:pos="1361"/>
      </w:tabs>
      <w:spacing w:before="60" w:after="60"/>
      <w:ind w:left="1361" w:hanging="340"/>
    </w:pPr>
  </w:style>
  <w:style w:type="paragraph" w:styleId="List5">
    <w:name w:val="List 5"/>
    <w:basedOn w:val="BodyText"/>
    <w:rsid w:val="00A11BA3"/>
    <w:pPr>
      <w:tabs>
        <w:tab w:val="left" w:pos="1701"/>
      </w:tabs>
      <w:spacing w:before="60" w:after="60"/>
      <w:ind w:left="1701" w:hanging="340"/>
    </w:pPr>
  </w:style>
  <w:style w:type="paragraph" w:styleId="ListBullet3">
    <w:name w:val="List Bullet 3"/>
    <w:basedOn w:val="List3"/>
    <w:rsid w:val="00A11BA3"/>
    <w:pPr>
      <w:numPr>
        <w:numId w:val="14"/>
      </w:numPr>
      <w:tabs>
        <w:tab w:val="clear" w:pos="1021"/>
      </w:tabs>
      <w:ind w:left="1037" w:hanging="357"/>
    </w:pPr>
  </w:style>
  <w:style w:type="paragraph" w:styleId="ListBullet4">
    <w:name w:val="List Bullet 4"/>
    <w:basedOn w:val="List4"/>
    <w:rsid w:val="00A11BA3"/>
    <w:pPr>
      <w:numPr>
        <w:numId w:val="3"/>
      </w:numPr>
      <w:tabs>
        <w:tab w:val="clear" w:pos="1361"/>
      </w:tabs>
    </w:pPr>
  </w:style>
  <w:style w:type="paragraph" w:styleId="ListBullet5">
    <w:name w:val="List Bullet 5"/>
    <w:basedOn w:val="List5"/>
    <w:rsid w:val="00A11BA3"/>
    <w:pPr>
      <w:numPr>
        <w:numId w:val="4"/>
      </w:numPr>
    </w:pPr>
  </w:style>
  <w:style w:type="paragraph" w:styleId="ListContinue2">
    <w:name w:val="List Continue 2"/>
    <w:basedOn w:val="List2"/>
    <w:rsid w:val="00A11BA3"/>
    <w:pPr>
      <w:ind w:firstLine="0"/>
    </w:pPr>
  </w:style>
  <w:style w:type="paragraph" w:styleId="ListContinue3">
    <w:name w:val="List Continue 3"/>
    <w:basedOn w:val="List3"/>
    <w:rsid w:val="00A11BA3"/>
    <w:pPr>
      <w:ind w:left="1021" w:firstLine="0"/>
    </w:pPr>
  </w:style>
  <w:style w:type="paragraph" w:styleId="ListContinue4">
    <w:name w:val="List Continue 4"/>
    <w:basedOn w:val="List4"/>
    <w:rsid w:val="00A11BA3"/>
    <w:pPr>
      <w:ind w:firstLine="0"/>
    </w:pPr>
  </w:style>
  <w:style w:type="paragraph" w:styleId="ListContinue5">
    <w:name w:val="List Continue 5"/>
    <w:basedOn w:val="List5"/>
    <w:rsid w:val="00A11BA3"/>
    <w:pPr>
      <w:ind w:firstLine="0"/>
    </w:pPr>
  </w:style>
  <w:style w:type="paragraph" w:styleId="ListNumber3">
    <w:name w:val="List Number 3"/>
    <w:basedOn w:val="List3"/>
    <w:rsid w:val="00A11BA3"/>
    <w:pPr>
      <w:numPr>
        <w:numId w:val="5"/>
      </w:numPr>
    </w:pPr>
  </w:style>
  <w:style w:type="paragraph" w:styleId="ListNumber4">
    <w:name w:val="List Number 4"/>
    <w:basedOn w:val="List4"/>
    <w:rsid w:val="00A11BA3"/>
    <w:pPr>
      <w:numPr>
        <w:numId w:val="6"/>
      </w:numPr>
    </w:pPr>
  </w:style>
  <w:style w:type="paragraph" w:styleId="ListNumber5">
    <w:name w:val="List Number 5"/>
    <w:basedOn w:val="List5"/>
    <w:rsid w:val="00A11BA3"/>
    <w:pPr>
      <w:numPr>
        <w:numId w:val="7"/>
      </w:numPr>
    </w:pPr>
  </w:style>
  <w:style w:type="paragraph" w:styleId="BlockText">
    <w:name w:val="Block Text"/>
    <w:basedOn w:val="Normal"/>
    <w:rsid w:val="00A11BA3"/>
    <w:pPr>
      <w:spacing w:after="120"/>
      <w:ind w:left="1440" w:right="1440"/>
    </w:pPr>
  </w:style>
  <w:style w:type="character" w:customStyle="1" w:styleId="Subscript">
    <w:name w:val="Subscript"/>
    <w:basedOn w:val="DefaultParagraphFont"/>
    <w:rsid w:val="00A11BA3"/>
    <w:rPr>
      <w:sz w:val="16"/>
      <w:vertAlign w:val="subscript"/>
    </w:rPr>
  </w:style>
  <w:style w:type="character" w:customStyle="1" w:styleId="Superscript">
    <w:name w:val="Superscript"/>
    <w:basedOn w:val="DefaultParagraphFont"/>
    <w:rsid w:val="00A11BA3"/>
    <w:rPr>
      <w:sz w:val="16"/>
      <w:vertAlign w:val="superscript"/>
    </w:rPr>
  </w:style>
  <w:style w:type="character" w:customStyle="1" w:styleId="Symbols">
    <w:name w:val="Symbols"/>
    <w:basedOn w:val="DefaultParagraphFont"/>
    <w:rsid w:val="00A11BA3"/>
    <w:rPr>
      <w:rFonts w:ascii="Symbol" w:hAnsi="Symbol"/>
    </w:rPr>
  </w:style>
  <w:style w:type="character" w:customStyle="1" w:styleId="MenuOptions">
    <w:name w:val="Menu Options"/>
    <w:basedOn w:val="DefaultParagraphFont"/>
    <w:rsid w:val="00A11BA3"/>
    <w:rPr>
      <w:rFonts w:ascii="Arial Narrow" w:hAnsi="Arial Narrow"/>
      <w:smallCaps/>
    </w:rPr>
  </w:style>
  <w:style w:type="character" w:customStyle="1" w:styleId="Buttons">
    <w:name w:val="Buttons"/>
    <w:basedOn w:val="DefaultParagraphFont"/>
    <w:rsid w:val="00A11BA3"/>
    <w:rPr>
      <w:b/>
    </w:rPr>
  </w:style>
  <w:style w:type="character" w:customStyle="1" w:styleId="Underlined">
    <w:name w:val="Underlined"/>
    <w:basedOn w:val="DefaultParagraphFont"/>
    <w:rsid w:val="00A11BA3"/>
    <w:rPr>
      <w:u w:val="single"/>
    </w:rPr>
  </w:style>
  <w:style w:type="paragraph" w:customStyle="1" w:styleId="TableBodyTextRight">
    <w:name w:val="Table Body Text Right"/>
    <w:basedOn w:val="TableBodyText"/>
    <w:rsid w:val="00A11BA3"/>
    <w:pPr>
      <w:widowControl w:val="0"/>
      <w:autoSpaceDE w:val="0"/>
      <w:autoSpaceDN w:val="0"/>
      <w:adjustRightInd w:val="0"/>
      <w:jc w:val="right"/>
    </w:pPr>
    <w:rPr>
      <w:rFonts w:cs="Arial"/>
      <w:szCs w:val="18"/>
    </w:rPr>
  </w:style>
  <w:style w:type="paragraph" w:customStyle="1" w:styleId="CopyrightText">
    <w:name w:val="Copyright Text"/>
    <w:basedOn w:val="BodyText"/>
    <w:rsid w:val="00A11BA3"/>
    <w:rPr>
      <w:sz w:val="18"/>
    </w:rPr>
  </w:style>
  <w:style w:type="paragraph" w:customStyle="1" w:styleId="BodySmallRight">
    <w:name w:val="Body Small Right"/>
    <w:basedOn w:val="BodyTextRight"/>
    <w:rsid w:val="00A11BA3"/>
    <w:rPr>
      <w:sz w:val="18"/>
      <w:szCs w:val="18"/>
    </w:rPr>
  </w:style>
  <w:style w:type="paragraph" w:customStyle="1" w:styleId="MarginEdition">
    <w:name w:val="Margin Edition"/>
    <w:basedOn w:val="MarginNote"/>
    <w:rsid w:val="00A11BA3"/>
    <w:pPr>
      <w:spacing w:before="0" w:after="0"/>
    </w:pPr>
    <w:rPr>
      <w:rFonts w:ascii="Times New Roman" w:hAnsi="Times New Roman"/>
      <w:color w:val="999999"/>
    </w:rPr>
  </w:style>
  <w:style w:type="paragraph" w:customStyle="1" w:styleId="Spacer">
    <w:name w:val="Spacer"/>
    <w:basedOn w:val="Normal"/>
    <w:rsid w:val="00A11BA3"/>
    <w:rPr>
      <w:sz w:val="2"/>
      <w:szCs w:val="2"/>
    </w:rPr>
  </w:style>
  <w:style w:type="character" w:customStyle="1" w:styleId="Small">
    <w:name w:val="Small"/>
    <w:basedOn w:val="DefaultParagraphFont"/>
    <w:rsid w:val="00A11BA3"/>
    <w:rPr>
      <w:sz w:val="16"/>
    </w:rPr>
  </w:style>
  <w:style w:type="paragraph" w:customStyle="1" w:styleId="WideTable">
    <w:name w:val="Wide Table"/>
    <w:basedOn w:val="Normal"/>
    <w:rsid w:val="00A11BA3"/>
    <w:pPr>
      <w:ind w:left="-1418"/>
    </w:pPr>
    <w:rPr>
      <w:sz w:val="2"/>
      <w:szCs w:val="2"/>
    </w:rPr>
  </w:style>
  <w:style w:type="character" w:styleId="PageNumber">
    <w:name w:val="page number"/>
    <w:basedOn w:val="DefaultParagraphFont"/>
    <w:rsid w:val="00A11BA3"/>
  </w:style>
  <w:style w:type="paragraph" w:styleId="Quote">
    <w:name w:val="Quote"/>
    <w:basedOn w:val="Heading1"/>
    <w:link w:val="QuoteChar"/>
    <w:qFormat/>
    <w:rsid w:val="00A11BA3"/>
    <w:rPr>
      <w:b w:val="0"/>
      <w:sz w:val="72"/>
      <w:szCs w:val="72"/>
      <w:lang w:val="en-NZ"/>
    </w:rPr>
  </w:style>
  <w:style w:type="character" w:customStyle="1" w:styleId="QuoteChar">
    <w:name w:val="Quote Char"/>
    <w:basedOn w:val="DefaultParagraphFont"/>
    <w:link w:val="Quote"/>
    <w:rsid w:val="00A11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BA3"/>
    <w:pPr>
      <w:pageBreakBefore/>
    </w:pPr>
  </w:style>
  <w:style w:type="paragraph" w:customStyle="1" w:styleId="Border">
    <w:name w:val="Border"/>
    <w:basedOn w:val="Normal"/>
    <w:qFormat/>
    <w:rsid w:val="00A11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BA3"/>
    <w:rPr>
      <w:b/>
      <w:bCs/>
      <w:i/>
      <w:iCs/>
      <w:color w:val="auto"/>
    </w:rPr>
  </w:style>
  <w:style w:type="paragraph" w:styleId="IntenseQuote">
    <w:name w:val="Intense Quote"/>
    <w:basedOn w:val="Normal"/>
    <w:next w:val="Normal"/>
    <w:link w:val="IntenseQuoteChar"/>
    <w:uiPriority w:val="30"/>
    <w:qFormat/>
    <w:rsid w:val="00A11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BA3"/>
    <w:rPr>
      <w:smallCaps/>
      <w:color w:val="auto"/>
      <w:u w:val="single"/>
    </w:rPr>
  </w:style>
  <w:style w:type="character" w:styleId="IntenseReference">
    <w:name w:val="Intense Reference"/>
    <w:basedOn w:val="DefaultParagraphFont"/>
    <w:uiPriority w:val="32"/>
    <w:qFormat/>
    <w:rsid w:val="00A11BA3"/>
    <w:rPr>
      <w:b/>
      <w:bCs/>
      <w:smallCaps/>
      <w:color w:val="auto"/>
      <w:spacing w:val="5"/>
      <w:u w:val="single"/>
    </w:rPr>
  </w:style>
  <w:style w:type="paragraph" w:customStyle="1" w:styleId="2ColumnHeading">
    <w:name w:val="2Column Heading"/>
    <w:basedOn w:val="BodyText"/>
    <w:qFormat/>
    <w:rsid w:val="00A11BA3"/>
    <w:pPr>
      <w:spacing w:after="60"/>
      <w:ind w:left="-2268"/>
    </w:pPr>
    <w:rPr>
      <w:b/>
    </w:rPr>
  </w:style>
  <w:style w:type="paragraph" w:customStyle="1" w:styleId="Heading1TOC">
    <w:name w:val="Heading1 TOC"/>
    <w:basedOn w:val="Normal"/>
    <w:qFormat/>
    <w:rsid w:val="00A11BA3"/>
    <w:pPr>
      <w:spacing w:before="240" w:after="120"/>
    </w:pPr>
    <w:rPr>
      <w:rFonts w:ascii="Times New Roman" w:hAnsi="Times New Roman"/>
      <w:b/>
      <w:sz w:val="32"/>
    </w:rPr>
  </w:style>
  <w:style w:type="paragraph" w:customStyle="1" w:styleId="Heading2TOC">
    <w:name w:val="Heading2 TOC"/>
    <w:basedOn w:val="Normal"/>
    <w:qFormat/>
    <w:rsid w:val="00A11BA3"/>
    <w:pPr>
      <w:spacing w:before="240" w:after="60"/>
    </w:pPr>
    <w:rPr>
      <w:rFonts w:ascii="Times New Roman" w:hAnsi="Times New Roman"/>
      <w:b/>
      <w:sz w:val="28"/>
    </w:rPr>
  </w:style>
  <w:style w:type="character" w:customStyle="1" w:styleId="Underline">
    <w:name w:val="Underline"/>
    <w:basedOn w:val="DefaultParagraphFont"/>
    <w:qFormat/>
    <w:rsid w:val="00A11BA3"/>
    <w:rPr>
      <w:u w:val="single"/>
    </w:rPr>
  </w:style>
  <w:style w:type="character" w:customStyle="1" w:styleId="BoldandItalics">
    <w:name w:val="Bold and Italics"/>
    <w:qFormat/>
    <w:rsid w:val="00A11BA3"/>
    <w:rPr>
      <w:b/>
      <w:i/>
      <w:u w:val="none"/>
    </w:rPr>
  </w:style>
  <w:style w:type="paragraph" w:styleId="BalloonText">
    <w:name w:val="Balloon Text"/>
    <w:basedOn w:val="Normal"/>
    <w:link w:val="BalloonTextChar"/>
    <w:rsid w:val="00A11BA3"/>
    <w:rPr>
      <w:rFonts w:ascii="Tahoma" w:hAnsi="Tahoma" w:cs="Tahoma"/>
      <w:sz w:val="16"/>
      <w:szCs w:val="16"/>
    </w:rPr>
  </w:style>
  <w:style w:type="character" w:customStyle="1" w:styleId="BalloonTextChar">
    <w:name w:val="Balloon Text Char"/>
    <w:basedOn w:val="DefaultParagraphFont"/>
    <w:link w:val="BalloonText"/>
    <w:rsid w:val="00A11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B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BA3"/>
    <w:rPr>
      <w:b/>
      <w:color w:val="660033"/>
      <w:spacing w:val="0"/>
    </w:rPr>
  </w:style>
  <w:style w:type="paragraph" w:customStyle="1" w:styleId="Nameditemlist">
    <w:name w:val="Named item list"/>
    <w:basedOn w:val="BodyText"/>
    <w:qFormat/>
    <w:rsid w:val="00A11BA3"/>
    <w:pPr>
      <w:tabs>
        <w:tab w:val="left" w:pos="2835"/>
      </w:tabs>
      <w:ind w:left="2835" w:hanging="2835"/>
    </w:pPr>
  </w:style>
  <w:style w:type="paragraph" w:customStyle="1" w:styleId="BodyTextnopadding">
    <w:name w:val="Body Text no padding"/>
    <w:basedOn w:val="BodyText"/>
    <w:qFormat/>
    <w:rsid w:val="00A11BA3"/>
    <w:pPr>
      <w:spacing w:before="0" w:after="0"/>
    </w:pPr>
  </w:style>
  <w:style w:type="paragraph" w:customStyle="1" w:styleId="BodyTextBold">
    <w:name w:val="Body Text Bold"/>
    <w:basedOn w:val="BodyText"/>
    <w:qFormat/>
    <w:rsid w:val="00A11BA3"/>
    <w:rPr>
      <w:b/>
    </w:rPr>
  </w:style>
  <w:style w:type="character" w:styleId="Hyperlink">
    <w:name w:val="Hyperlink"/>
    <w:basedOn w:val="DefaultParagraphFont"/>
    <w:uiPriority w:val="99"/>
    <w:unhideWhenUsed/>
    <w:rsid w:val="007F4B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7123</Characters>
  <Application>Microsoft Office Word</Application>
  <DocSecurity>0</DocSecurity>
  <Lines>254</Lines>
  <Paragraphs>132</Paragraphs>
  <ScaleCrop>false</ScaleCrop>
  <Company>Author-it Software Corporation Ltd.</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CPPFES2011 Install portable fire extinguishers, fire cabinets and fire blankets</dc:title>
  <dc:subject>Approved</dc:subject>
  <dc:creator>BuildSkills Australia</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