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2453" w:rsidP="002F24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CPPFES2006 Prepare for installation and servicing operations</w:t>
      </w:r>
      <w:r>
        <w:fldChar w:fldCharType="end"/>
      </w:r>
    </w:p>
    <w:p w:rsidR="002F2453" w:rsidP="002F2453">
      <w:pPr>
        <w:pStyle w:val="Version"/>
        <w:sectPr w:rsidSect="00B712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125F" w:rsidP="00B7125F">
      <w:pPr>
        <w:pStyle w:val="SuperHeading"/>
      </w:pPr>
      <w:r w:rsidRPr="00B7125F">
        <w:t>Assessment Requirements for CPPFES2006 Prepare for installation and servicing operations</w:t>
      </w:r>
    </w:p>
    <w:p w:rsidR="00000000" w:rsidRPr="00B7125F" w:rsidP="00B7125F">
      <w:pPr>
        <w:pStyle w:val="Heading1"/>
      </w:pPr>
      <w:bookmarkStart w:id="1" w:name="O_1163349"/>
      <w:bookmarkEnd w:id="1"/>
      <w:r w:rsidRPr="00B712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734"/>
      </w:tblGrid>
      <w:tr w:rsidTr="00B712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25F">
            <w:pPr>
              <w:pStyle w:val="BodyText"/>
              <w:rPr>
                <w:lang w:val="en-NZ"/>
              </w:rPr>
            </w:pPr>
            <w:r w:rsidRPr="00B7125F">
              <w:t>Release 1</w:t>
            </w:r>
          </w:p>
        </w:tc>
        <w:tc>
          <w:tcPr>
            <w:tcW w:w="7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25F" w:rsidP="00B7125F">
            <w:pPr>
              <w:pStyle w:val="BodyText"/>
            </w:pPr>
            <w:r w:rsidRPr="00B7125F">
              <w:t>This version first released with CPP Property Services Training Package Release 13.0.</w:t>
            </w:r>
          </w:p>
          <w:p w:rsidR="00000000" w:rsidRPr="00B7125F" w:rsidP="00B7125F">
            <w:pPr>
              <w:pStyle w:val="BodyText"/>
            </w:pPr>
            <w:r w:rsidRPr="00B7125F">
              <w:t>Supersedes and is equivalent to CPPFES2006A Prepare for installation and servicing operations.  Unit updated to meet the Standards for Training Packages 2012. Updated licensing statement.</w:t>
            </w:r>
          </w:p>
        </w:tc>
      </w:tr>
    </w:tbl>
    <w:p w:rsidR="00000000" w:rsidRPr="00B7125F" w:rsidP="00B7125F">
      <w:pPr>
        <w:pStyle w:val="BodyText"/>
      </w:pPr>
    </w:p>
    <w:p w:rsidR="00000000" w:rsidRPr="00B7125F" w:rsidP="00B7125F">
      <w:pPr>
        <w:pStyle w:val="AllowPageBreak"/>
      </w:pPr>
    </w:p>
    <w:p w:rsidR="00000000" w:rsidRPr="00B7125F" w:rsidP="00B7125F">
      <w:pPr>
        <w:pStyle w:val="Heading1"/>
      </w:pPr>
      <w:bookmarkStart w:id="2" w:name="O_1163352"/>
      <w:bookmarkEnd w:id="2"/>
      <w:r w:rsidRPr="00B7125F">
        <w:t>Performance Evidence</w:t>
      </w:r>
    </w:p>
    <w:p w:rsidR="00000000" w:rsidRPr="00B7125F" w:rsidP="002F2453">
      <w:pPr>
        <w:pStyle w:val="BodyText"/>
      </w:pPr>
      <w:r w:rsidRPr="00B7125F">
        <w:t>To demonstrate competency,</w:t>
      </w:r>
      <w:r w:rsidRPr="00B7125F">
        <w:t xml:space="preserve"> a candidate must meet the elements and performance criteria of this unit by preparing for one installation and one servicing operation involving two different settings.</w:t>
      </w:r>
    </w:p>
    <w:p w:rsidR="00000000" w:rsidRPr="00B7125F" w:rsidP="00B7125F">
      <w:pPr>
        <w:pStyle w:val="Heading1"/>
      </w:pPr>
      <w:bookmarkStart w:id="3" w:name="O_1163351"/>
      <w:bookmarkEnd w:id="3"/>
      <w:r w:rsidRPr="00B7125F">
        <w:t>Knowledge Evidence</w:t>
      </w:r>
    </w:p>
    <w:p w:rsidR="00000000" w:rsidRPr="00B7125F" w:rsidP="002F2453">
      <w:pPr>
        <w:pStyle w:val="BodyText"/>
      </w:pPr>
      <w:r w:rsidRPr="00B7125F">
        <w:t>To be competent in this unit, a candidate must d</w:t>
      </w:r>
      <w:r w:rsidRPr="00B7125F">
        <w:t>emonstrate knowledge of:</w:t>
      </w:r>
    </w:p>
    <w:p w:rsidR="00000000" w:rsidRPr="00B7125F" w:rsidP="00B7125F">
      <w:pPr>
        <w:pStyle w:val="ListBullet"/>
      </w:pPr>
      <w:r w:rsidRPr="00B7125F">
        <w:t>action to take when a breach of regulation, work health and safety (WHS) or other policy occurs when preparing for installation and servicing operations</w:t>
      </w:r>
    </w:p>
    <w:p w:rsidR="00000000" w:rsidRPr="00B7125F" w:rsidP="00B7125F">
      <w:pPr>
        <w:pStyle w:val="ListBullet"/>
      </w:pPr>
      <w:r w:rsidRPr="00B7125F">
        <w:t>definition of terms used in Australian Standards:</w:t>
      </w:r>
    </w:p>
    <w:p w:rsidR="00000000" w:rsidRPr="00B7125F" w:rsidP="00B7125F">
      <w:pPr>
        <w:pStyle w:val="ListBullet2"/>
      </w:pPr>
      <w:r w:rsidRPr="00B7125F">
        <w:t>commentary</w:t>
      </w:r>
    </w:p>
    <w:p w:rsidR="00000000" w:rsidRPr="00B7125F" w:rsidP="00B7125F">
      <w:pPr>
        <w:pStyle w:val="ListBullet2"/>
      </w:pPr>
      <w:r w:rsidRPr="00B7125F">
        <w:t>informative</w:t>
      </w:r>
    </w:p>
    <w:p w:rsidR="00000000" w:rsidRPr="00B7125F" w:rsidP="00B7125F">
      <w:pPr>
        <w:pStyle w:val="ListBullet2"/>
      </w:pPr>
      <w:r w:rsidRPr="00B7125F">
        <w:t>referenced document</w:t>
      </w:r>
    </w:p>
    <w:p w:rsidR="00000000" w:rsidRPr="00B7125F" w:rsidP="00B7125F">
      <w:pPr>
        <w:pStyle w:val="ListBullet2"/>
      </w:pPr>
      <w:r w:rsidRPr="00B7125F">
        <w:t>shall</w:t>
      </w:r>
    </w:p>
    <w:p w:rsidR="00000000" w:rsidRPr="00B7125F" w:rsidP="00B7125F">
      <w:pPr>
        <w:pStyle w:val="ListBullet2"/>
      </w:pPr>
      <w:r w:rsidRPr="00B7125F">
        <w:t>should</w:t>
      </w:r>
    </w:p>
    <w:p w:rsidR="00000000" w:rsidRPr="00B7125F" w:rsidP="00B7125F">
      <w:pPr>
        <w:pStyle w:val="ListBullet"/>
      </w:pPr>
      <w:r w:rsidRPr="00B7125F">
        <w:t>implications of not applying rules and regulations to work activities</w:t>
      </w:r>
    </w:p>
    <w:p w:rsidR="00000000" w:rsidRPr="00B7125F" w:rsidP="00B7125F">
      <w:pPr>
        <w:pStyle w:val="ListBullet"/>
      </w:pPr>
      <w:r w:rsidRPr="00B7125F">
        <w:t xml:space="preserve">key features of legislation, regulations, codes and Australian Standards relevant to installation and servicing operations: </w:t>
      </w:r>
    </w:p>
    <w:p w:rsidR="00000000" w:rsidRPr="00B7125F" w:rsidP="00B7125F">
      <w:pPr>
        <w:pStyle w:val="ListBullet2"/>
      </w:pPr>
      <w:r w:rsidRPr="00B7125F">
        <w:t>environmental protection</w:t>
      </w:r>
    </w:p>
    <w:p w:rsidR="00000000" w:rsidRPr="00B7125F" w:rsidP="00B7125F">
      <w:pPr>
        <w:pStyle w:val="ListBullet2"/>
      </w:pPr>
      <w:r w:rsidRPr="00B7125F">
        <w:t>l</w:t>
      </w:r>
      <w:r w:rsidRPr="00B7125F">
        <w:t xml:space="preserve">icence requirements for handling ozone depleting substances (ODS) and synthetic greenhouse gases (SGG) </w:t>
      </w:r>
    </w:p>
    <w:p w:rsidR="00000000" w:rsidRPr="00B7125F" w:rsidP="00B7125F">
      <w:pPr>
        <w:pStyle w:val="ListBullet2"/>
      </w:pPr>
      <w:r w:rsidRPr="00B7125F">
        <w:t>National Construction Code (NCC) and deemed-to-satisfy requirements</w:t>
      </w:r>
    </w:p>
    <w:p w:rsidR="00000000" w:rsidRPr="00B7125F" w:rsidP="00B7125F">
      <w:pPr>
        <w:pStyle w:val="ListBullet2"/>
      </w:pPr>
      <w:r w:rsidRPr="00B7125F">
        <w:t>occupancy permits</w:t>
      </w:r>
    </w:p>
    <w:p w:rsidR="00000000" w:rsidRPr="00B7125F" w:rsidP="00B7125F">
      <w:pPr>
        <w:pStyle w:val="ListBullet2"/>
      </w:pPr>
      <w:r w:rsidRPr="00B7125F">
        <w:t>purpose, function and structure of Australian Standards</w:t>
      </w:r>
    </w:p>
    <w:p w:rsidR="00000000" w:rsidRPr="00B7125F" w:rsidP="00B7125F">
      <w:pPr>
        <w:pStyle w:val="ListBullet2"/>
      </w:pPr>
      <w:r w:rsidRPr="00B7125F">
        <w:t>records an</w:t>
      </w:r>
      <w:r w:rsidRPr="00B7125F">
        <w:t>d documentation</w:t>
      </w:r>
    </w:p>
    <w:p w:rsidR="00000000" w:rsidRPr="00B7125F" w:rsidP="00B7125F">
      <w:pPr>
        <w:pStyle w:val="ListBullet"/>
      </w:pPr>
      <w:r w:rsidRPr="00B7125F">
        <w:t xml:space="preserve">methods for: </w:t>
      </w:r>
    </w:p>
    <w:p w:rsidR="00000000" w:rsidRPr="00B7125F" w:rsidP="00B7125F">
      <w:pPr>
        <w:pStyle w:val="ListBullet2"/>
      </w:pPr>
      <w:r w:rsidRPr="00B7125F">
        <w:t>converting basic units of measurement and pressure</w:t>
      </w:r>
    </w:p>
    <w:p w:rsidR="00000000" w:rsidRPr="00B7125F" w:rsidP="00B7125F">
      <w:pPr>
        <w:pStyle w:val="ListBullet2"/>
      </w:pPr>
      <w:r w:rsidRPr="00B7125F">
        <w:t>holding work when using power tools</w:t>
      </w:r>
    </w:p>
    <w:p w:rsidR="00000000" w:rsidRPr="00B7125F" w:rsidP="00B7125F">
      <w:pPr>
        <w:pStyle w:val="ListBullet2"/>
      </w:pPr>
      <w:r w:rsidRPr="00B7125F">
        <w:t>using detection equipment for finding hidden utilities</w:t>
      </w:r>
    </w:p>
    <w:p w:rsidR="00000000" w:rsidRPr="00B7125F" w:rsidP="00B7125F">
      <w:pPr>
        <w:pStyle w:val="ListBullet2"/>
      </w:pPr>
      <w:r w:rsidRPr="00B7125F">
        <w:t>using liquid adhesives to attach location signs</w:t>
      </w:r>
    </w:p>
    <w:p w:rsidR="00000000" w:rsidRPr="00B7125F" w:rsidP="00B7125F">
      <w:pPr>
        <w:pStyle w:val="ListBullet2"/>
      </w:pPr>
      <w:r w:rsidRPr="00B7125F">
        <w:t xml:space="preserve">preventing ODS and SGG emissions according to the </w:t>
      </w:r>
      <w:r w:rsidRPr="00B7125F">
        <w:rPr>
          <w:rStyle w:val="Emphasis"/>
        </w:rPr>
        <w:t>Fire Protection Industry (ODS &amp;SGG) Board ODS &amp; SGG Good Practice Guide</w:t>
      </w:r>
    </w:p>
    <w:p w:rsidR="00000000" w:rsidRPr="00B7125F" w:rsidP="00B7125F">
      <w:pPr>
        <w:pStyle w:val="ListBullet"/>
      </w:pPr>
      <w:r w:rsidRPr="00B7125F">
        <w:t>on-site work permit requirements</w:t>
      </w:r>
    </w:p>
    <w:p w:rsidR="00000000" w:rsidRPr="00B7125F" w:rsidP="00B7125F">
      <w:pPr>
        <w:pStyle w:val="ListBullet"/>
      </w:pPr>
      <w:r w:rsidRPr="00B7125F">
        <w:t>reasons for preventing ODS and SGG emissions</w:t>
      </w:r>
    </w:p>
    <w:p w:rsidR="00000000" w:rsidRPr="00B7125F" w:rsidP="00B7125F">
      <w:pPr>
        <w:pStyle w:val="ListBullet"/>
      </w:pPr>
      <w:r w:rsidRPr="00B7125F">
        <w:t xml:space="preserve">reasons and methods for ensuring service vehicle stock </w:t>
      </w:r>
      <w:r w:rsidRPr="00B7125F">
        <w:t>levels are constantly maintained</w:t>
      </w:r>
    </w:p>
    <w:p w:rsidR="00000000" w:rsidRPr="00B7125F" w:rsidP="00B7125F">
      <w:pPr>
        <w:pStyle w:val="ListBullet"/>
      </w:pPr>
      <w:r w:rsidRPr="00B7125F">
        <w:t>types of electrical safeguards used to protect persons and property when installing or servicing fire protection equipment and systems</w:t>
      </w:r>
    </w:p>
    <w:p w:rsidR="00000000" w:rsidRPr="00B7125F" w:rsidP="00B7125F">
      <w:pPr>
        <w:pStyle w:val="ListBullet"/>
      </w:pPr>
      <w:r w:rsidRPr="00B7125F">
        <w:t>types and purpose of hardware items, tools and equipment used when installing and servic</w:t>
      </w:r>
      <w:r w:rsidRPr="00B7125F">
        <w:t>ing fire protection equipment and systems</w:t>
      </w:r>
    </w:p>
    <w:p w:rsidR="00000000" w:rsidRPr="00B7125F" w:rsidP="00B7125F">
      <w:pPr>
        <w:pStyle w:val="ListBullet"/>
      </w:pPr>
      <w:r w:rsidRPr="00B7125F">
        <w:t>workplace requirements relevant to servicing and installation operations:</w:t>
      </w:r>
    </w:p>
    <w:p w:rsidR="00000000" w:rsidRPr="00B7125F" w:rsidP="00B7125F">
      <w:pPr>
        <w:pStyle w:val="ListBullet2"/>
      </w:pPr>
      <w:r w:rsidRPr="00B7125F">
        <w:t>maintenance of tools, equipment and service vehicle</w:t>
      </w:r>
    </w:p>
    <w:p w:rsidR="00000000" w:rsidRPr="00B7125F" w:rsidP="00B7125F">
      <w:pPr>
        <w:pStyle w:val="ListBullet2"/>
      </w:pPr>
      <w:r w:rsidRPr="00B7125F">
        <w:t>WHS, including hazard and risk identification and control.</w:t>
      </w:r>
    </w:p>
    <w:p w:rsidR="00000000" w:rsidRPr="00B7125F" w:rsidP="00B7125F">
      <w:pPr>
        <w:pStyle w:val="AllowPageBreak"/>
      </w:pPr>
    </w:p>
    <w:p w:rsidR="00000000" w:rsidRPr="00B7125F" w:rsidP="00B7125F">
      <w:pPr>
        <w:pStyle w:val="Heading1"/>
      </w:pPr>
      <w:bookmarkStart w:id="4" w:name="O_1163350"/>
      <w:bookmarkEnd w:id="4"/>
      <w:r w:rsidRPr="00B7125F">
        <w:t>Assessmen</w:t>
      </w:r>
      <w:r w:rsidRPr="00B7125F">
        <w:t>t Conditions</w:t>
      </w:r>
    </w:p>
    <w:p w:rsidR="00000000" w:rsidRPr="00B7125F" w:rsidP="002F2453">
      <w:pPr>
        <w:pStyle w:val="BodyText"/>
      </w:pPr>
      <w:r w:rsidRPr="00B7125F">
        <w:t xml:space="preserve">Assessors must meet the requirements for assessors contained in the Standards for Registered Training Organisations. </w:t>
      </w:r>
    </w:p>
    <w:p w:rsidR="00000000" w:rsidRPr="00B7125F" w:rsidP="002F2453">
      <w:pPr>
        <w:pStyle w:val="BodyText"/>
      </w:pPr>
      <w:r w:rsidRPr="00B7125F">
        <w:t>Asse</w:t>
      </w:r>
      <w:r w:rsidRPr="00B7125F">
        <w:t>ssment must be conducted in the workplace or a simulated workplace using realistic conditions, materials, activities, responsibilities, procedures, safety requirements and environmental considerations.</w:t>
      </w:r>
    </w:p>
    <w:p w:rsidR="00000000" w:rsidRPr="00B7125F" w:rsidP="002F2453">
      <w:pPr>
        <w:pStyle w:val="BodyText"/>
      </w:pPr>
      <w:r w:rsidRPr="00B7125F">
        <w:t>Candidates must have access to documentation, tools, e</w:t>
      </w:r>
      <w:r w:rsidRPr="00B7125F">
        <w:t>quipment, hardware and work locations required to achieve the performance evidence.</w:t>
      </w:r>
    </w:p>
    <w:p w:rsidR="00000000" w:rsidRPr="00B7125F" w:rsidP="00B7125F">
      <w:pPr>
        <w:pStyle w:val="Heading1"/>
      </w:pPr>
      <w:bookmarkStart w:id="5" w:name="O_1163348"/>
      <w:bookmarkEnd w:id="5"/>
      <w:r w:rsidRPr="00B7125F">
        <w:t>Links</w:t>
      </w:r>
    </w:p>
    <w:p w:rsidR="00000000" w:rsidRPr="00B7125F" w:rsidP="002F2453">
      <w:pPr>
        <w:pStyle w:val="BodyText"/>
      </w:pPr>
      <w:r w:rsidRPr="00B7125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924E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7125F" w:rsidP="00B7125F"/>
    <w:sectPr w:rsidSect="00B712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2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25F" w:rsidRPr="002F2453" w:rsidP="002F24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2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453" w:rsidP="00B712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2453" w:rsidP="00B712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F2453" w:rsidP="00B712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2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4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125F" w:rsidRPr="002F2453" w:rsidP="002F24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2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453" w:rsidRPr="002D2AF8" w:rsidP="00B712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CPPFES2006 Prepare for installation and servicing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F2453" w:rsidP="00B712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EEE2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263F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62C7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2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12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12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12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12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12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12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12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12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12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12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125F"/>
  </w:style>
  <w:style w:type="character" w:customStyle="1" w:styleId="Heading1Char">
    <w:name w:val="Heading 1 Char"/>
    <w:basedOn w:val="DefaultParagraphFont"/>
    <w:link w:val="Heading1"/>
    <w:rsid w:val="00B712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12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12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12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125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7125F"/>
    <w:rPr>
      <w:i/>
    </w:rPr>
  </w:style>
  <w:style w:type="paragraph" w:customStyle="1" w:styleId="SuperHeading">
    <w:name w:val="SuperHeading"/>
    <w:basedOn w:val="Normal"/>
    <w:rsid w:val="00B712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12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12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12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12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12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12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12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12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12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12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12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12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12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12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12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12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12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12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12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12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12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125F"/>
    <w:rPr>
      <w:b/>
      <w:spacing w:val="0"/>
    </w:rPr>
  </w:style>
  <w:style w:type="paragraph" w:customStyle="1" w:styleId="SuperTitle">
    <w:name w:val="SuperTitle"/>
    <w:basedOn w:val="Title"/>
    <w:rsid w:val="00B712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12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12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12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12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12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12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12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12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12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12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12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12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12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12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125F"/>
  </w:style>
  <w:style w:type="paragraph" w:styleId="TableofFigures">
    <w:name w:val="table of figures"/>
    <w:basedOn w:val="Normal"/>
    <w:next w:val="Normal"/>
    <w:semiHidden/>
    <w:rsid w:val="00B712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12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125F"/>
    <w:rPr>
      <w:rFonts w:ascii="Wingdings" w:hAnsi="Wingdings"/>
    </w:rPr>
  </w:style>
  <w:style w:type="paragraph" w:customStyle="1" w:styleId="TableHeading">
    <w:name w:val="Table Heading"/>
    <w:basedOn w:val="HeadingBase"/>
    <w:rsid w:val="00B712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125F"/>
    <w:rPr>
      <w:color w:val="0033CC"/>
      <w:u w:val="none"/>
    </w:rPr>
  </w:style>
  <w:style w:type="paragraph" w:customStyle="1" w:styleId="BodyTextRight">
    <w:name w:val="Body Text Right"/>
    <w:basedOn w:val="BodyText"/>
    <w:rsid w:val="00B712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12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12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12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12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12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125F"/>
    <w:rPr>
      <w:sz w:val="32"/>
    </w:rPr>
  </w:style>
  <w:style w:type="paragraph" w:customStyle="1" w:styleId="HeadingProcedure">
    <w:name w:val="Heading Procedure"/>
    <w:basedOn w:val="HeadingBase"/>
    <w:next w:val="Normal"/>
    <w:rsid w:val="00B712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125F"/>
    <w:pPr>
      <w:spacing w:before="60" w:after="60"/>
    </w:pPr>
  </w:style>
  <w:style w:type="paragraph" w:styleId="ListContinue">
    <w:name w:val="List Continue"/>
    <w:basedOn w:val="List"/>
    <w:rsid w:val="00B7125F"/>
    <w:pPr>
      <w:ind w:firstLine="0"/>
    </w:pPr>
  </w:style>
  <w:style w:type="paragraph" w:customStyle="1" w:styleId="ListNote">
    <w:name w:val="List Note"/>
    <w:basedOn w:val="List"/>
    <w:rsid w:val="00B712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12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12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125F"/>
    <w:rPr>
      <w:rFonts w:ascii="Courier New" w:hAnsi="Courier New"/>
    </w:rPr>
  </w:style>
  <w:style w:type="paragraph" w:customStyle="1" w:styleId="NoteBullet">
    <w:name w:val="Note Bullet"/>
    <w:basedOn w:val="Note"/>
    <w:rsid w:val="00B712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12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12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12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12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12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12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125F"/>
    <w:rPr>
      <w:b/>
      <w:smallCaps/>
    </w:rPr>
  </w:style>
  <w:style w:type="paragraph" w:customStyle="1" w:styleId="TableListNumber">
    <w:name w:val="Table List Number"/>
    <w:basedOn w:val="ListNumber"/>
    <w:rsid w:val="00B712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12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125F"/>
    <w:pPr>
      <w:numPr>
        <w:numId w:val="9"/>
      </w:numPr>
    </w:pPr>
  </w:style>
  <w:style w:type="paragraph" w:customStyle="1" w:styleId="ListAlpha2">
    <w:name w:val="List Alpha 2"/>
    <w:basedOn w:val="List2"/>
    <w:rsid w:val="00B7125F"/>
    <w:pPr>
      <w:numPr>
        <w:numId w:val="8"/>
      </w:numPr>
    </w:pPr>
  </w:style>
  <w:style w:type="paragraph" w:styleId="List2">
    <w:name w:val="List 2"/>
    <w:basedOn w:val="BodyText"/>
    <w:rsid w:val="00B712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12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12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12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12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12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125F"/>
    <w:pPr>
      <w:numPr>
        <w:numId w:val="4"/>
      </w:numPr>
    </w:pPr>
  </w:style>
  <w:style w:type="paragraph" w:styleId="ListContinue2">
    <w:name w:val="List Continue 2"/>
    <w:basedOn w:val="List2"/>
    <w:rsid w:val="00B7125F"/>
    <w:pPr>
      <w:ind w:firstLine="0"/>
    </w:pPr>
  </w:style>
  <w:style w:type="paragraph" w:styleId="ListContinue3">
    <w:name w:val="List Continue 3"/>
    <w:basedOn w:val="List3"/>
    <w:rsid w:val="00B7125F"/>
    <w:pPr>
      <w:ind w:left="1021" w:firstLine="0"/>
    </w:pPr>
  </w:style>
  <w:style w:type="paragraph" w:styleId="ListContinue4">
    <w:name w:val="List Continue 4"/>
    <w:basedOn w:val="List4"/>
    <w:rsid w:val="00B7125F"/>
    <w:pPr>
      <w:ind w:firstLine="0"/>
    </w:pPr>
  </w:style>
  <w:style w:type="paragraph" w:styleId="ListContinue5">
    <w:name w:val="List Continue 5"/>
    <w:basedOn w:val="List5"/>
    <w:rsid w:val="00B7125F"/>
    <w:pPr>
      <w:ind w:firstLine="0"/>
    </w:pPr>
  </w:style>
  <w:style w:type="paragraph" w:styleId="ListNumber3">
    <w:name w:val="List Number 3"/>
    <w:basedOn w:val="List3"/>
    <w:rsid w:val="00B7125F"/>
    <w:pPr>
      <w:numPr>
        <w:numId w:val="5"/>
      </w:numPr>
    </w:pPr>
  </w:style>
  <w:style w:type="paragraph" w:styleId="ListNumber4">
    <w:name w:val="List Number 4"/>
    <w:basedOn w:val="List4"/>
    <w:rsid w:val="00B7125F"/>
    <w:pPr>
      <w:numPr>
        <w:numId w:val="6"/>
      </w:numPr>
    </w:pPr>
  </w:style>
  <w:style w:type="paragraph" w:styleId="ListNumber5">
    <w:name w:val="List Number 5"/>
    <w:basedOn w:val="List5"/>
    <w:rsid w:val="00B7125F"/>
    <w:pPr>
      <w:numPr>
        <w:numId w:val="7"/>
      </w:numPr>
    </w:pPr>
  </w:style>
  <w:style w:type="paragraph" w:styleId="BlockText">
    <w:name w:val="Block Text"/>
    <w:basedOn w:val="Normal"/>
    <w:rsid w:val="00B712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12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125F"/>
    <w:rPr>
      <w:sz w:val="16"/>
      <w:vertAlign w:val="superscript"/>
    </w:rPr>
  </w:style>
  <w:style w:type="character" w:customStyle="1" w:styleId="Symbols">
    <w:name w:val="Symbols"/>
    <w:basedOn w:val="DefaultParagraphFont"/>
    <w:rsid w:val="00B7125F"/>
    <w:rPr>
      <w:rFonts w:ascii="Symbol" w:hAnsi="Symbol"/>
    </w:rPr>
  </w:style>
  <w:style w:type="character" w:customStyle="1" w:styleId="MenuOptions">
    <w:name w:val="Menu Options"/>
    <w:basedOn w:val="DefaultParagraphFont"/>
    <w:rsid w:val="00B712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125F"/>
    <w:rPr>
      <w:b/>
    </w:rPr>
  </w:style>
  <w:style w:type="character" w:customStyle="1" w:styleId="Underlined">
    <w:name w:val="Underlined"/>
    <w:basedOn w:val="DefaultParagraphFont"/>
    <w:rsid w:val="00B7125F"/>
    <w:rPr>
      <w:u w:val="single"/>
    </w:rPr>
  </w:style>
  <w:style w:type="paragraph" w:customStyle="1" w:styleId="TableBodyTextRight">
    <w:name w:val="Table Body Text Right"/>
    <w:basedOn w:val="TableBodyText"/>
    <w:rsid w:val="00B712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125F"/>
    <w:rPr>
      <w:sz w:val="18"/>
    </w:rPr>
  </w:style>
  <w:style w:type="paragraph" w:customStyle="1" w:styleId="BodySmallRight">
    <w:name w:val="Body Small Right"/>
    <w:basedOn w:val="BodyTextRight"/>
    <w:rsid w:val="00B7125F"/>
    <w:rPr>
      <w:sz w:val="18"/>
      <w:szCs w:val="18"/>
    </w:rPr>
  </w:style>
  <w:style w:type="paragraph" w:customStyle="1" w:styleId="MarginEdition">
    <w:name w:val="Margin Edition"/>
    <w:basedOn w:val="MarginNote"/>
    <w:rsid w:val="00B712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125F"/>
    <w:rPr>
      <w:sz w:val="2"/>
      <w:szCs w:val="2"/>
    </w:rPr>
  </w:style>
  <w:style w:type="character" w:customStyle="1" w:styleId="Small">
    <w:name w:val="Small"/>
    <w:basedOn w:val="DefaultParagraphFont"/>
    <w:rsid w:val="00B7125F"/>
    <w:rPr>
      <w:sz w:val="16"/>
    </w:rPr>
  </w:style>
  <w:style w:type="paragraph" w:customStyle="1" w:styleId="WideTable">
    <w:name w:val="Wide Table"/>
    <w:basedOn w:val="Normal"/>
    <w:rsid w:val="00B712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125F"/>
  </w:style>
  <w:style w:type="paragraph" w:styleId="Quote">
    <w:name w:val="Quote"/>
    <w:basedOn w:val="Heading1"/>
    <w:link w:val="QuoteChar"/>
    <w:qFormat/>
    <w:rsid w:val="00B712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12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125F"/>
    <w:pPr>
      <w:pageBreakBefore/>
    </w:pPr>
  </w:style>
  <w:style w:type="paragraph" w:customStyle="1" w:styleId="Border">
    <w:name w:val="Border"/>
    <w:basedOn w:val="Normal"/>
    <w:qFormat/>
    <w:rsid w:val="00B712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12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2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2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12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12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12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12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12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125F"/>
    <w:rPr>
      <w:u w:val="single"/>
    </w:rPr>
  </w:style>
  <w:style w:type="character" w:customStyle="1" w:styleId="BoldandItalics">
    <w:name w:val="Bold and Italics"/>
    <w:qFormat/>
    <w:rsid w:val="00B7125F"/>
    <w:rPr>
      <w:b/>
      <w:i/>
      <w:u w:val="none"/>
    </w:rPr>
  </w:style>
  <w:style w:type="paragraph" w:styleId="BalloonText">
    <w:name w:val="Balloon Text"/>
    <w:basedOn w:val="Normal"/>
    <w:link w:val="BalloonTextChar"/>
    <w:rsid w:val="00B712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12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12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12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12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12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125F"/>
    <w:pPr>
      <w:spacing w:before="0" w:after="0"/>
    </w:pPr>
  </w:style>
  <w:style w:type="paragraph" w:customStyle="1" w:styleId="BodyTextBold">
    <w:name w:val="Body Text Bold"/>
    <w:basedOn w:val="BodyText"/>
    <w:qFormat/>
    <w:rsid w:val="00B7125F"/>
    <w:rPr>
      <w:b/>
    </w:rPr>
  </w:style>
  <w:style w:type="character" w:styleId="Hyperlink">
    <w:name w:val="Hyperlink"/>
    <w:basedOn w:val="DefaultParagraphFont"/>
    <w:uiPriority w:val="99"/>
    <w:unhideWhenUsed/>
    <w:rsid w:val="002F24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2900</Characters>
  <Application>Microsoft Office Word</Application>
  <DocSecurity>0</DocSecurity>
  <Lines>76</Lines>
  <Paragraphs>54</Paragraphs>
  <ScaleCrop>false</ScaleCrop>
  <Company>Author-it Software Corporation Ltd.</Company>
  <LinksUpToDate>false</LinksUpToDate>
  <CharactersWithSpaces>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CPPFES2006 Prepare for installation and servicing operations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2022-12-19T06:52:00Z</dcterms:created>
  <dcterms:modified xsi:type="dcterms:W3CDTF">2022-12-19T06:52:00Z</dcterms:modified>
</cp:coreProperties>
</file>