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1B81" w:rsidP="00F21B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CPPFES2005 Demonstrate first attack firefighting equipment</w:t>
      </w:r>
      <w:r>
        <w:fldChar w:fldCharType="end"/>
      </w:r>
    </w:p>
    <w:p w:rsidR="00F21B81" w:rsidP="00F21B81">
      <w:pPr>
        <w:pStyle w:val="Version"/>
        <w:sectPr w:rsidSect="006117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176E" w:rsidP="0061176E">
      <w:pPr>
        <w:pStyle w:val="SuperHeading"/>
      </w:pPr>
      <w:r w:rsidRPr="0061176E">
        <w:t>Assessment Requirements for CPPFES2005 Demonstrate first attack firefighting equipment</w:t>
      </w:r>
    </w:p>
    <w:p w:rsidR="00000000" w:rsidRPr="0061176E" w:rsidP="0061176E">
      <w:pPr>
        <w:pStyle w:val="Heading1"/>
      </w:pPr>
      <w:bookmarkStart w:id="1" w:name="O_1163332"/>
      <w:bookmarkEnd w:id="1"/>
      <w:r w:rsidRPr="0061176E">
        <w:t>Modification History</w:t>
      </w:r>
    </w:p>
    <w:tbl>
      <w:tblPr>
        <w:tblW w:w="92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82"/>
        <w:gridCol w:w="8116"/>
      </w:tblGrid>
      <w:tr w:rsidTr="0061176E">
        <w:tblPrEx>
          <w:tblW w:w="92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76E">
            <w:pPr>
              <w:pStyle w:val="BodyText"/>
              <w:rPr>
                <w:lang w:val="en-NZ"/>
              </w:rPr>
            </w:pPr>
            <w:r w:rsidRPr="0061176E">
              <w:t>Release 1</w:t>
            </w:r>
          </w:p>
        </w:tc>
        <w:tc>
          <w:tcPr>
            <w:tcW w:w="8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76E" w:rsidP="0061176E">
            <w:pPr>
              <w:pStyle w:val="BodyText"/>
            </w:pPr>
            <w:r w:rsidRPr="0061176E">
              <w:t>This version first released with CPP Property Services Training Package Release 13.0.</w:t>
            </w:r>
          </w:p>
          <w:p w:rsidR="00000000" w:rsidRPr="0061176E" w:rsidP="0061176E">
            <w:pPr>
              <w:pStyle w:val="BodyText"/>
            </w:pPr>
            <w:r w:rsidRPr="0061176E">
              <w:t>Supersedes and is equivalent to CPPFES2005A Demonstrate first attack firefighting equipment.  Unit updated to meet the Standards for Training Packages 2012.</w:t>
            </w:r>
          </w:p>
        </w:tc>
      </w:tr>
    </w:tbl>
    <w:p w:rsidR="00000000" w:rsidRPr="0061176E" w:rsidP="0061176E">
      <w:pPr>
        <w:pStyle w:val="BodyText"/>
      </w:pPr>
    </w:p>
    <w:p w:rsidR="00000000" w:rsidRPr="0061176E" w:rsidP="0061176E">
      <w:pPr>
        <w:pStyle w:val="AllowPageBreak"/>
      </w:pPr>
    </w:p>
    <w:p w:rsidR="00000000" w:rsidRPr="0061176E" w:rsidP="0061176E">
      <w:pPr>
        <w:pStyle w:val="Heading1"/>
      </w:pPr>
      <w:bookmarkStart w:id="2" w:name="O_1163335"/>
      <w:bookmarkEnd w:id="2"/>
      <w:r w:rsidRPr="0061176E">
        <w:t>Performance Evidence</w:t>
      </w:r>
    </w:p>
    <w:p w:rsidR="00000000" w:rsidRPr="0061176E" w:rsidP="00F21B81">
      <w:pPr>
        <w:pStyle w:val="BodyText"/>
      </w:pPr>
      <w:r w:rsidRPr="0061176E">
        <w:t>To demonstrate competency, a candidate must meet the elem</w:t>
      </w:r>
      <w:r w:rsidRPr="0061176E">
        <w:t>ents and performance criteria of this unit by demonstrating and explaining the correct and safe use of first attack firefighting equipment, including:</w:t>
      </w:r>
    </w:p>
    <w:p w:rsidR="00000000" w:rsidRPr="0061176E" w:rsidP="0061176E">
      <w:pPr>
        <w:pStyle w:val="ListBullet"/>
      </w:pPr>
      <w:r w:rsidRPr="0061176E">
        <w:t>selecting an appropriate extinguisher and demonstrating correct extinguishment methods for the following</w:t>
      </w:r>
      <w:r w:rsidRPr="0061176E">
        <w:t xml:space="preserve"> simulated fires:</w:t>
      </w:r>
    </w:p>
    <w:p w:rsidR="00000000" w:rsidRPr="0061176E" w:rsidP="0061176E">
      <w:pPr>
        <w:pStyle w:val="ListBullet2"/>
      </w:pPr>
      <w:r w:rsidRPr="0061176E">
        <w:t>one class A, C or F type fire involving two different types of equipment or materials</w:t>
      </w:r>
    </w:p>
    <w:p w:rsidR="00000000" w:rsidRPr="0061176E" w:rsidP="0061176E">
      <w:pPr>
        <w:pStyle w:val="ListBullet2"/>
      </w:pPr>
      <w:r w:rsidRPr="0061176E">
        <w:t>one class A, C or F type fire involving potentially energised electrical equipment</w:t>
      </w:r>
    </w:p>
    <w:p w:rsidR="00000000" w:rsidRPr="0061176E" w:rsidP="0061176E">
      <w:pPr>
        <w:pStyle w:val="ListBullet2"/>
      </w:pPr>
      <w:r w:rsidRPr="0061176E">
        <w:t>one class B type fire</w:t>
      </w:r>
    </w:p>
    <w:p w:rsidR="00000000" w:rsidRPr="0061176E" w:rsidP="0061176E">
      <w:pPr>
        <w:pStyle w:val="ListBullet2"/>
      </w:pPr>
      <w:r w:rsidRPr="0061176E">
        <w:t>one class D type fire</w:t>
      </w:r>
    </w:p>
    <w:p w:rsidR="00000000" w:rsidRPr="0061176E" w:rsidP="0061176E">
      <w:pPr>
        <w:pStyle w:val="ListBullet"/>
      </w:pPr>
      <w:r w:rsidRPr="0061176E">
        <w:t>attacking a fire using a fire hose reel where the fire is located more than 10 metres from the installed location of the hose reel</w:t>
      </w:r>
    </w:p>
    <w:p w:rsidR="00000000" w:rsidRPr="0061176E" w:rsidP="0061176E">
      <w:pPr>
        <w:pStyle w:val="ListBullet"/>
      </w:pPr>
      <w:r w:rsidRPr="0061176E">
        <w:t>attacking a fire using a fire blanket.</w:t>
      </w:r>
    </w:p>
    <w:p w:rsidR="00000000" w:rsidRPr="0061176E" w:rsidP="0061176E">
      <w:pPr>
        <w:pStyle w:val="AllowPageBreak"/>
      </w:pPr>
    </w:p>
    <w:p w:rsidR="00000000" w:rsidRPr="0061176E" w:rsidP="0061176E">
      <w:pPr>
        <w:pStyle w:val="Heading1"/>
      </w:pPr>
      <w:bookmarkStart w:id="3" w:name="O_1163334"/>
      <w:bookmarkEnd w:id="3"/>
      <w:r w:rsidRPr="0061176E">
        <w:t>Knowledge Evidence</w:t>
      </w:r>
    </w:p>
    <w:p w:rsidR="00000000" w:rsidRPr="0061176E" w:rsidP="00F21B81">
      <w:pPr>
        <w:pStyle w:val="BodyText"/>
      </w:pPr>
      <w:r w:rsidRPr="0061176E">
        <w:t>To be competent in this unit, a candidate must d</w:t>
      </w:r>
      <w:r w:rsidRPr="0061176E">
        <w:t>emonstrate knowledge of:</w:t>
      </w:r>
    </w:p>
    <w:p w:rsidR="00000000" w:rsidRPr="0061176E" w:rsidP="0061176E">
      <w:pPr>
        <w:pStyle w:val="ListBullet"/>
      </w:pPr>
      <w:r w:rsidRPr="0061176E">
        <w:t>basic methods of locating a fire</w:t>
      </w:r>
    </w:p>
    <w:p w:rsidR="00000000" w:rsidRPr="0061176E" w:rsidP="0061176E">
      <w:pPr>
        <w:pStyle w:val="ListBullet"/>
      </w:pPr>
      <w:r w:rsidRPr="0061176E">
        <w:t>correct use of fire extinguishers and hose reels on different classes of fire and implications of incorrect use</w:t>
      </w:r>
    </w:p>
    <w:p w:rsidR="00000000" w:rsidRPr="0061176E" w:rsidP="0061176E">
      <w:pPr>
        <w:pStyle w:val="ListBullet"/>
      </w:pPr>
      <w:r w:rsidRPr="0061176E">
        <w:t>how fire can be spread by conduction, convection, radiation and direct burning</w:t>
      </w:r>
    </w:p>
    <w:p w:rsidR="00000000" w:rsidRPr="0061176E" w:rsidP="0061176E">
      <w:pPr>
        <w:pStyle w:val="ListBullet"/>
      </w:pPr>
      <w:r w:rsidRPr="0061176E">
        <w:t>how wa</w:t>
      </w:r>
      <w:r w:rsidRPr="0061176E">
        <w:t>ter pressure influences the discharge distance for hose reels</w:t>
      </w:r>
    </w:p>
    <w:p w:rsidR="00000000" w:rsidRPr="0061176E" w:rsidP="0061176E">
      <w:pPr>
        <w:pStyle w:val="ListBullet"/>
      </w:pPr>
      <w:r w:rsidRPr="0061176E">
        <w:t>key actions in a fire emergency, commonly known by the acronym RACE:</w:t>
      </w:r>
    </w:p>
    <w:p w:rsidR="00000000" w:rsidRPr="0061176E" w:rsidP="0061176E">
      <w:pPr>
        <w:pStyle w:val="ListBullet2"/>
      </w:pPr>
      <w:r w:rsidRPr="0061176E">
        <w:t>rescue</w:t>
      </w:r>
    </w:p>
    <w:p w:rsidR="00000000" w:rsidRPr="0061176E" w:rsidP="0061176E">
      <w:pPr>
        <w:pStyle w:val="ListBullet2"/>
      </w:pPr>
      <w:r w:rsidRPr="0061176E">
        <w:t>activate alarm</w:t>
      </w:r>
    </w:p>
    <w:p w:rsidR="00000000" w:rsidRPr="0061176E" w:rsidP="0061176E">
      <w:pPr>
        <w:pStyle w:val="ListBullet2"/>
      </w:pPr>
      <w:r w:rsidRPr="0061176E">
        <w:t>confine fire</w:t>
      </w:r>
    </w:p>
    <w:p w:rsidR="00000000" w:rsidRPr="0061176E" w:rsidP="0061176E">
      <w:pPr>
        <w:pStyle w:val="ListBullet2"/>
      </w:pPr>
      <w:r w:rsidRPr="0061176E">
        <w:t>evacuate or extinguish</w:t>
      </w:r>
    </w:p>
    <w:p w:rsidR="00000000" w:rsidRPr="0061176E" w:rsidP="0061176E">
      <w:pPr>
        <w:pStyle w:val="ListBullet"/>
      </w:pPr>
      <w:r w:rsidRPr="0061176E">
        <w:t>meaning of secondary damage</w:t>
      </w:r>
    </w:p>
    <w:p w:rsidR="00000000" w:rsidRPr="0061176E" w:rsidP="0061176E">
      <w:pPr>
        <w:pStyle w:val="ListBullet"/>
      </w:pPr>
      <w:r w:rsidRPr="0061176E">
        <w:t>reasons why cooking oil and fat fires require special attention</w:t>
      </w:r>
    </w:p>
    <w:p w:rsidR="00000000" w:rsidRPr="0061176E" w:rsidP="0061176E">
      <w:pPr>
        <w:pStyle w:val="ListBullet"/>
      </w:pPr>
      <w:r w:rsidRPr="0061176E">
        <w:t>theory of fire, including the triangle of combustion</w:t>
      </w:r>
    </w:p>
    <w:p w:rsidR="00000000" w:rsidRPr="0061176E" w:rsidP="0061176E">
      <w:pPr>
        <w:pStyle w:val="ListBullet"/>
      </w:pPr>
      <w:r w:rsidRPr="0061176E">
        <w:t>types and operation of fire protection equipment classified as first attack equipment.</w:t>
      </w:r>
    </w:p>
    <w:p w:rsidR="00000000" w:rsidRPr="0061176E" w:rsidP="0061176E">
      <w:pPr>
        <w:pStyle w:val="AllowPageBreak"/>
      </w:pPr>
    </w:p>
    <w:p w:rsidR="00000000" w:rsidRPr="0061176E" w:rsidP="0061176E">
      <w:pPr>
        <w:pStyle w:val="Heading1"/>
      </w:pPr>
      <w:bookmarkStart w:id="4" w:name="O_1163333"/>
      <w:bookmarkEnd w:id="4"/>
      <w:r w:rsidRPr="0061176E">
        <w:t>Assessment Conditions</w:t>
      </w:r>
    </w:p>
    <w:p w:rsidR="00000000" w:rsidRPr="0061176E" w:rsidP="00F21B81">
      <w:pPr>
        <w:pStyle w:val="BodyText"/>
      </w:pPr>
      <w:r w:rsidRPr="0061176E">
        <w:t>Assessors m</w:t>
      </w:r>
      <w:r w:rsidRPr="0061176E">
        <w:t xml:space="preserve">ust meet the requirements for assessors contained in the Standards for Registered Training Organisations. </w:t>
      </w:r>
    </w:p>
    <w:p w:rsidR="00000000" w:rsidRPr="0061176E" w:rsidP="00F21B81">
      <w:pPr>
        <w:pStyle w:val="BodyText"/>
      </w:pPr>
      <w:r w:rsidRPr="0061176E">
        <w:t>This unit of competency could be assessed by pr</w:t>
      </w:r>
      <w:r w:rsidRPr="0061176E">
        <w:t>actical demonstration, using simulated fire situations. Due to safety and cost factors, methods of extinguishing class D, E and F fires are confined to oral explanations and role play or simulations only.</w:t>
      </w:r>
    </w:p>
    <w:p w:rsidR="00000000" w:rsidRPr="0061176E" w:rsidP="00F21B81">
      <w:pPr>
        <w:pStyle w:val="BodyText"/>
      </w:pPr>
      <w:r w:rsidRPr="0061176E">
        <w:t>All practical demonstrations involving the use of s</w:t>
      </w:r>
      <w:r w:rsidRPr="0061176E">
        <w:t>imulated fires must adhere to the safety and environmental regulations relevant to each state or territory.</w:t>
      </w:r>
    </w:p>
    <w:p w:rsidR="00000000" w:rsidRPr="0061176E" w:rsidP="00F21B81">
      <w:pPr>
        <w:pStyle w:val="BodyText"/>
      </w:pPr>
      <w:r w:rsidRPr="0061176E">
        <w:t xml:space="preserve">Candidates must have access to documentation, first attack firefighting equipment and simulated fire situations required to achieve the performance </w:t>
      </w:r>
      <w:r w:rsidRPr="0061176E">
        <w:t>evidence.</w:t>
      </w:r>
    </w:p>
    <w:p w:rsidR="00000000" w:rsidRPr="0061176E" w:rsidP="0061176E">
      <w:pPr>
        <w:pStyle w:val="Heading1"/>
      </w:pPr>
      <w:bookmarkStart w:id="5" w:name="O_1163331"/>
      <w:bookmarkEnd w:id="5"/>
      <w:r w:rsidRPr="0061176E">
        <w:t>Links</w:t>
      </w:r>
    </w:p>
    <w:p w:rsidR="00000000" w:rsidRPr="0061176E" w:rsidP="00F21B81">
      <w:pPr>
        <w:pStyle w:val="BodyText"/>
      </w:pPr>
      <w:r w:rsidRPr="0061176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8419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1176E" w:rsidP="0061176E"/>
    <w:sectPr w:rsidSect="006117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7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76E" w:rsidRPr="00F21B81" w:rsidP="00F21B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7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B81" w:rsidP="006117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1B81" w:rsidP="006117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21B81" w:rsidP="006117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7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B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176E" w:rsidRPr="00F21B81" w:rsidP="00F21B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7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B81" w:rsidRPr="002D2AF8" w:rsidP="006117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CPPFES2005 Demonstrate first attack firefighting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21B81" w:rsidP="006117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503F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B6BE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5C9D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7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17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17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17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17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17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17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17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17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17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17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176E"/>
  </w:style>
  <w:style w:type="character" w:customStyle="1" w:styleId="Heading1Char">
    <w:name w:val="Heading 1 Char"/>
    <w:basedOn w:val="DefaultParagraphFont"/>
    <w:link w:val="Heading1"/>
    <w:rsid w:val="006117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17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17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176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17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17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17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17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17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17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1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1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1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1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17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17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17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17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17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17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17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17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17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17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17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17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17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176E"/>
    <w:rPr>
      <w:b/>
      <w:spacing w:val="0"/>
    </w:rPr>
  </w:style>
  <w:style w:type="paragraph" w:customStyle="1" w:styleId="SuperTitle">
    <w:name w:val="SuperTitle"/>
    <w:basedOn w:val="Title"/>
    <w:rsid w:val="006117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17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17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17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17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17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17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17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17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17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17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17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176E"/>
    <w:rPr>
      <w:i/>
    </w:rPr>
  </w:style>
  <w:style w:type="paragraph" w:styleId="Caption">
    <w:name w:val="caption"/>
    <w:basedOn w:val="BodyText"/>
    <w:next w:val="Normal"/>
    <w:qFormat/>
    <w:rsid w:val="006117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17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17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176E"/>
  </w:style>
  <w:style w:type="paragraph" w:styleId="TableofFigures">
    <w:name w:val="table of figures"/>
    <w:basedOn w:val="Normal"/>
    <w:next w:val="Normal"/>
    <w:semiHidden/>
    <w:rsid w:val="006117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17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176E"/>
    <w:rPr>
      <w:rFonts w:ascii="Wingdings" w:hAnsi="Wingdings"/>
    </w:rPr>
  </w:style>
  <w:style w:type="paragraph" w:customStyle="1" w:styleId="TableHeading">
    <w:name w:val="Table Heading"/>
    <w:basedOn w:val="HeadingBase"/>
    <w:rsid w:val="006117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176E"/>
    <w:rPr>
      <w:color w:val="0033CC"/>
      <w:u w:val="none"/>
    </w:rPr>
  </w:style>
  <w:style w:type="paragraph" w:customStyle="1" w:styleId="BodyTextRight">
    <w:name w:val="Body Text Right"/>
    <w:basedOn w:val="BodyText"/>
    <w:rsid w:val="006117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17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17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17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17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17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176E"/>
    <w:rPr>
      <w:sz w:val="32"/>
    </w:rPr>
  </w:style>
  <w:style w:type="paragraph" w:customStyle="1" w:styleId="HeadingProcedure">
    <w:name w:val="Heading Procedure"/>
    <w:basedOn w:val="HeadingBase"/>
    <w:next w:val="Normal"/>
    <w:rsid w:val="006117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176E"/>
    <w:pPr>
      <w:spacing w:before="60" w:after="60"/>
    </w:pPr>
  </w:style>
  <w:style w:type="paragraph" w:styleId="ListContinue">
    <w:name w:val="List Continue"/>
    <w:basedOn w:val="List"/>
    <w:rsid w:val="0061176E"/>
    <w:pPr>
      <w:ind w:firstLine="0"/>
    </w:pPr>
  </w:style>
  <w:style w:type="paragraph" w:customStyle="1" w:styleId="ListNote">
    <w:name w:val="List Note"/>
    <w:basedOn w:val="List"/>
    <w:rsid w:val="006117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17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17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176E"/>
    <w:rPr>
      <w:rFonts w:ascii="Courier New" w:hAnsi="Courier New"/>
    </w:rPr>
  </w:style>
  <w:style w:type="paragraph" w:customStyle="1" w:styleId="NoteBullet">
    <w:name w:val="Note Bullet"/>
    <w:basedOn w:val="Note"/>
    <w:rsid w:val="006117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17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17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17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17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17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17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176E"/>
    <w:rPr>
      <w:b/>
      <w:smallCaps/>
    </w:rPr>
  </w:style>
  <w:style w:type="paragraph" w:customStyle="1" w:styleId="TableListNumber">
    <w:name w:val="Table List Number"/>
    <w:basedOn w:val="ListNumber"/>
    <w:rsid w:val="006117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17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176E"/>
    <w:pPr>
      <w:numPr>
        <w:numId w:val="9"/>
      </w:numPr>
    </w:pPr>
  </w:style>
  <w:style w:type="paragraph" w:customStyle="1" w:styleId="ListAlpha2">
    <w:name w:val="List Alpha 2"/>
    <w:basedOn w:val="List2"/>
    <w:rsid w:val="0061176E"/>
    <w:pPr>
      <w:numPr>
        <w:numId w:val="8"/>
      </w:numPr>
    </w:pPr>
  </w:style>
  <w:style w:type="paragraph" w:styleId="List2">
    <w:name w:val="List 2"/>
    <w:basedOn w:val="BodyText"/>
    <w:rsid w:val="006117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17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17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17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17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17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176E"/>
    <w:pPr>
      <w:numPr>
        <w:numId w:val="4"/>
      </w:numPr>
    </w:pPr>
  </w:style>
  <w:style w:type="paragraph" w:styleId="ListContinue2">
    <w:name w:val="List Continue 2"/>
    <w:basedOn w:val="List2"/>
    <w:rsid w:val="0061176E"/>
    <w:pPr>
      <w:ind w:firstLine="0"/>
    </w:pPr>
  </w:style>
  <w:style w:type="paragraph" w:styleId="ListContinue3">
    <w:name w:val="List Continue 3"/>
    <w:basedOn w:val="List3"/>
    <w:rsid w:val="0061176E"/>
    <w:pPr>
      <w:ind w:left="1021" w:firstLine="0"/>
    </w:pPr>
  </w:style>
  <w:style w:type="paragraph" w:styleId="ListContinue4">
    <w:name w:val="List Continue 4"/>
    <w:basedOn w:val="List4"/>
    <w:rsid w:val="0061176E"/>
    <w:pPr>
      <w:ind w:firstLine="0"/>
    </w:pPr>
  </w:style>
  <w:style w:type="paragraph" w:styleId="ListContinue5">
    <w:name w:val="List Continue 5"/>
    <w:basedOn w:val="List5"/>
    <w:rsid w:val="0061176E"/>
    <w:pPr>
      <w:ind w:firstLine="0"/>
    </w:pPr>
  </w:style>
  <w:style w:type="paragraph" w:styleId="ListNumber3">
    <w:name w:val="List Number 3"/>
    <w:basedOn w:val="List3"/>
    <w:rsid w:val="0061176E"/>
    <w:pPr>
      <w:numPr>
        <w:numId w:val="5"/>
      </w:numPr>
    </w:pPr>
  </w:style>
  <w:style w:type="paragraph" w:styleId="ListNumber4">
    <w:name w:val="List Number 4"/>
    <w:basedOn w:val="List4"/>
    <w:rsid w:val="0061176E"/>
    <w:pPr>
      <w:numPr>
        <w:numId w:val="6"/>
      </w:numPr>
    </w:pPr>
  </w:style>
  <w:style w:type="paragraph" w:styleId="ListNumber5">
    <w:name w:val="List Number 5"/>
    <w:basedOn w:val="List5"/>
    <w:rsid w:val="0061176E"/>
    <w:pPr>
      <w:numPr>
        <w:numId w:val="7"/>
      </w:numPr>
    </w:pPr>
  </w:style>
  <w:style w:type="paragraph" w:styleId="BlockText">
    <w:name w:val="Block Text"/>
    <w:basedOn w:val="Normal"/>
    <w:rsid w:val="006117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17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176E"/>
    <w:rPr>
      <w:sz w:val="16"/>
      <w:vertAlign w:val="superscript"/>
    </w:rPr>
  </w:style>
  <w:style w:type="character" w:customStyle="1" w:styleId="Symbols">
    <w:name w:val="Symbols"/>
    <w:basedOn w:val="DefaultParagraphFont"/>
    <w:rsid w:val="0061176E"/>
    <w:rPr>
      <w:rFonts w:ascii="Symbol" w:hAnsi="Symbol"/>
    </w:rPr>
  </w:style>
  <w:style w:type="character" w:customStyle="1" w:styleId="MenuOptions">
    <w:name w:val="Menu Options"/>
    <w:basedOn w:val="DefaultParagraphFont"/>
    <w:rsid w:val="006117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176E"/>
    <w:rPr>
      <w:b/>
    </w:rPr>
  </w:style>
  <w:style w:type="character" w:customStyle="1" w:styleId="Underlined">
    <w:name w:val="Underlined"/>
    <w:basedOn w:val="DefaultParagraphFont"/>
    <w:rsid w:val="0061176E"/>
    <w:rPr>
      <w:u w:val="single"/>
    </w:rPr>
  </w:style>
  <w:style w:type="paragraph" w:customStyle="1" w:styleId="TableBodyTextRight">
    <w:name w:val="Table Body Text Right"/>
    <w:basedOn w:val="TableBodyText"/>
    <w:rsid w:val="006117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176E"/>
    <w:rPr>
      <w:sz w:val="18"/>
    </w:rPr>
  </w:style>
  <w:style w:type="paragraph" w:customStyle="1" w:styleId="BodySmallRight">
    <w:name w:val="Body Small Right"/>
    <w:basedOn w:val="BodyTextRight"/>
    <w:rsid w:val="0061176E"/>
    <w:rPr>
      <w:sz w:val="18"/>
      <w:szCs w:val="18"/>
    </w:rPr>
  </w:style>
  <w:style w:type="paragraph" w:customStyle="1" w:styleId="MarginEdition">
    <w:name w:val="Margin Edition"/>
    <w:basedOn w:val="MarginNote"/>
    <w:rsid w:val="006117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176E"/>
    <w:rPr>
      <w:sz w:val="2"/>
      <w:szCs w:val="2"/>
    </w:rPr>
  </w:style>
  <w:style w:type="character" w:customStyle="1" w:styleId="Small">
    <w:name w:val="Small"/>
    <w:basedOn w:val="DefaultParagraphFont"/>
    <w:rsid w:val="0061176E"/>
    <w:rPr>
      <w:sz w:val="16"/>
    </w:rPr>
  </w:style>
  <w:style w:type="paragraph" w:customStyle="1" w:styleId="WideTable">
    <w:name w:val="Wide Table"/>
    <w:basedOn w:val="Normal"/>
    <w:rsid w:val="006117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176E"/>
  </w:style>
  <w:style w:type="paragraph" w:styleId="Quote">
    <w:name w:val="Quote"/>
    <w:basedOn w:val="Heading1"/>
    <w:link w:val="QuoteChar"/>
    <w:qFormat/>
    <w:rsid w:val="006117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17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176E"/>
    <w:pPr>
      <w:pageBreakBefore/>
    </w:pPr>
  </w:style>
  <w:style w:type="paragraph" w:customStyle="1" w:styleId="Border">
    <w:name w:val="Border"/>
    <w:basedOn w:val="Normal"/>
    <w:qFormat/>
    <w:rsid w:val="006117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17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7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17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17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17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17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17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17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176E"/>
    <w:rPr>
      <w:u w:val="single"/>
    </w:rPr>
  </w:style>
  <w:style w:type="character" w:customStyle="1" w:styleId="BoldandItalics">
    <w:name w:val="Bold and Italics"/>
    <w:qFormat/>
    <w:rsid w:val="0061176E"/>
    <w:rPr>
      <w:b/>
      <w:i/>
      <w:u w:val="none"/>
    </w:rPr>
  </w:style>
  <w:style w:type="paragraph" w:styleId="BalloonText">
    <w:name w:val="Balloon Text"/>
    <w:basedOn w:val="Normal"/>
    <w:link w:val="BalloonTextChar"/>
    <w:rsid w:val="00611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17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17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17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17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17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176E"/>
    <w:pPr>
      <w:spacing w:before="0" w:after="0"/>
    </w:pPr>
  </w:style>
  <w:style w:type="paragraph" w:customStyle="1" w:styleId="BodyTextBold">
    <w:name w:val="Body Text Bold"/>
    <w:basedOn w:val="BodyText"/>
    <w:qFormat/>
    <w:rsid w:val="0061176E"/>
    <w:rPr>
      <w:b/>
    </w:rPr>
  </w:style>
  <w:style w:type="character" w:styleId="Hyperlink">
    <w:name w:val="Hyperlink"/>
    <w:basedOn w:val="DefaultParagraphFont"/>
    <w:uiPriority w:val="99"/>
    <w:unhideWhenUsed/>
    <w:rsid w:val="00F21B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425</Words>
  <Characters>2568</Characters>
  <Application>Microsoft Office Word</Application>
  <DocSecurity>0</DocSecurity>
  <Lines>65</Lines>
  <Paragraphs>46</Paragraphs>
  <ScaleCrop>false</ScaleCrop>
  <Company>Author-it Software Corporation Ltd.</Company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CPPFES2005 Demonstrate first attack firefighting equipment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2025-02-11T07:06:00Z</dcterms:created>
  <dcterms:modified xsi:type="dcterms:W3CDTF">2025-02-11T07:06:00Z</dcterms:modified>
</cp:coreProperties>
</file>