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4B5" w:rsidP="007504B5">
      <w:pPr>
        <w:pStyle w:val="Title"/>
      </w:pPr>
      <w:r>
        <w:fldChar w:fldCharType="begin"/>
      </w:r>
      <w:r>
        <w:instrText xml:space="preserve"> TITLE   \* MERGEFORMAT </w:instrText>
      </w:r>
      <w:r>
        <w:fldChar w:fldCharType="separate"/>
      </w:r>
      <w:r>
        <w:t>CPPFES2003 Safely move loads and dangerous goods</w:t>
      </w:r>
      <w:r>
        <w:fldChar w:fldCharType="end"/>
      </w:r>
    </w:p>
    <w:p w:rsidR="007504B5" w:rsidP="007504B5">
      <w:pPr>
        <w:pStyle w:val="Version"/>
        <w:sectPr w:rsidSect="00C50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78E" w:rsidP="00C5078E">
      <w:pPr>
        <w:pStyle w:val="SuperHeading"/>
      </w:pPr>
      <w:r w:rsidRPr="00C5078E">
        <w:t>CPPFES2003 Safely move loads and dangerous goods</w:t>
      </w:r>
    </w:p>
    <w:p w:rsidR="00000000" w:rsidRPr="00C5078E" w:rsidP="00C5078E">
      <w:pPr>
        <w:pStyle w:val="Heading1"/>
      </w:pPr>
      <w:bookmarkStart w:id="1" w:name="O_1163302"/>
      <w:bookmarkEnd w:id="1"/>
      <w:r w:rsidRPr="00C5078E">
        <w:t>Modification History</w:t>
      </w:r>
    </w:p>
    <w:tbl>
      <w:tblPr>
        <w:tblW w:w="9298" w:type="dxa"/>
        <w:tblLayout w:type="fixed"/>
        <w:tblCellMar>
          <w:left w:w="62" w:type="dxa"/>
          <w:right w:w="62" w:type="dxa"/>
        </w:tblCellMar>
        <w:tblLook w:val="0000"/>
      </w:tblPr>
      <w:tblGrid>
        <w:gridCol w:w="1182"/>
        <w:gridCol w:w="8116"/>
      </w:tblGrid>
      <w:tr w:rsidTr="00C5078E">
        <w:tblPrEx>
          <w:tblW w:w="9298" w:type="dxa"/>
          <w:tblLayout w:type="fixed"/>
          <w:tblCellMar>
            <w:left w:w="62" w:type="dxa"/>
            <w:right w:w="62" w:type="dxa"/>
          </w:tblCellMar>
          <w:tblLook w:val="0000"/>
        </w:tblPrEx>
        <w:tc>
          <w:tcPr>
            <w:tcW w:w="1182"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Release 1</w:t>
            </w:r>
          </w:p>
        </w:tc>
        <w:tc>
          <w:tcPr>
            <w:tcW w:w="8116" w:type="dxa"/>
            <w:tcBorders>
              <w:top w:val="nil"/>
              <w:left w:val="nil"/>
              <w:bottom w:val="nil"/>
              <w:right w:val="nil"/>
            </w:tcBorders>
            <w:tcMar>
              <w:top w:w="0" w:type="dxa"/>
              <w:left w:w="62" w:type="dxa"/>
              <w:bottom w:w="0" w:type="dxa"/>
              <w:right w:w="62" w:type="dxa"/>
            </w:tcMar>
          </w:tcPr>
          <w:p w:rsidR="00000000" w:rsidRPr="00C5078E" w:rsidP="00C5078E">
            <w:pPr>
              <w:pStyle w:val="BodyText"/>
            </w:pPr>
            <w:r w:rsidRPr="00C5078E">
              <w:t>This version first released with CPP Property Services Training Package Release 13.0.</w:t>
            </w:r>
          </w:p>
          <w:p w:rsidR="00000000" w:rsidRPr="00C5078E" w:rsidP="00C5078E">
            <w:pPr>
              <w:pStyle w:val="BodyText"/>
            </w:pPr>
            <w:r w:rsidRPr="00C5078E">
              <w:t>Supersedes and is equivalent to CPPFES2003A Safely move loads and dangerous goods.  Unit updated to meet the Standards for Trainin</w:t>
            </w:r>
            <w:r w:rsidRPr="00C5078E">
              <w:t>g Packages 2012. Updated licensing statement.</w:t>
            </w:r>
          </w:p>
        </w:tc>
      </w:tr>
    </w:tbl>
    <w:p w:rsidR="00000000" w:rsidRPr="00C5078E" w:rsidP="00C5078E">
      <w:pPr>
        <w:pStyle w:val="BodyText"/>
      </w:pPr>
    </w:p>
    <w:p w:rsidR="00000000" w:rsidRPr="00C5078E" w:rsidP="00C5078E">
      <w:pPr>
        <w:pStyle w:val="AllowPageBreak"/>
      </w:pPr>
    </w:p>
    <w:p w:rsidR="00000000" w:rsidRPr="00C5078E" w:rsidP="00C5078E">
      <w:pPr>
        <w:pStyle w:val="Heading1"/>
      </w:pPr>
      <w:bookmarkStart w:id="2" w:name="O_1163308"/>
      <w:bookmarkEnd w:id="2"/>
      <w:r w:rsidRPr="00C5078E">
        <w:t>Application</w:t>
      </w:r>
    </w:p>
    <w:p w:rsidR="00000000" w:rsidRPr="00C5078E" w:rsidP="007504B5">
      <w:pPr>
        <w:pStyle w:val="BodyText"/>
      </w:pPr>
      <w:r w:rsidRPr="00C5078E">
        <w:t>This unit of competency specifies the skills and knowledge required to safely move materials, loads and hazardous or dangerous goods used in the fire protection industry in such</w:t>
      </w:r>
      <w:r w:rsidRPr="00C5078E">
        <w:t xml:space="preserve"> a way as to avoid injury to self and others, and prevent damage to product, property and the environment. It includes handling, storing and transporting containers that may contain ozone depleting substances (ODS) and synthetic greenhouse gases (SGG).</w:t>
      </w:r>
    </w:p>
    <w:p w:rsidR="00000000" w:rsidRPr="00C5078E" w:rsidP="007504B5">
      <w:pPr>
        <w:pStyle w:val="BodyText"/>
      </w:pPr>
      <w:r w:rsidRPr="00C5078E">
        <w:t>The</w:t>
      </w:r>
      <w:r w:rsidRPr="00C5078E">
        <w:t xml:space="preserve"> unit is suitable for those with basic skills and knowledge undertaking routine work tasks under the direction of more experienced workers.</w:t>
      </w:r>
    </w:p>
    <w:p w:rsidR="00000000" w:rsidRPr="00C5078E" w:rsidP="007504B5">
      <w:pPr>
        <w:pStyle w:val="BodyText"/>
      </w:pPr>
      <w:r w:rsidRPr="00C5078E">
        <w:t>Candidates must hold a current, nationally recognised licence required to operate vehicles when transporting loads o</w:t>
      </w:r>
      <w:r w:rsidRPr="00C5078E">
        <w:t>r dangerous goods by road.</w:t>
      </w:r>
    </w:p>
    <w:p w:rsidR="00000000" w:rsidRPr="00C5078E" w:rsidP="007504B5">
      <w:pPr>
        <w:pStyle w:val="BodyText"/>
      </w:pPr>
      <w:r w:rsidRPr="00C5078E">
        <w:t>ODS and SGG are gaseous fire-extinguishing agents listed in Schedule 1 of the Ozone Protection and Synthetic Greenhouse Gas Management Act 1989 and by law, can only be handled by people who hold an appropriate extinguishing agent</w:t>
      </w:r>
      <w:r w:rsidRPr="00C5078E">
        <w:t xml:space="preserve"> handling licence (EAHL). This unit supports one or more EAHLs prescribed under the Act. For further information, check with the relevant regulatory authority.</w:t>
      </w:r>
    </w:p>
    <w:p w:rsidR="00000000" w:rsidRPr="00C5078E" w:rsidP="00C5078E">
      <w:pPr>
        <w:pStyle w:val="Heading1"/>
      </w:pPr>
      <w:bookmarkStart w:id="3" w:name="O_1163307"/>
      <w:bookmarkEnd w:id="3"/>
      <w:r w:rsidRPr="00C5078E">
        <w:t>Pre-requisite Unit</w:t>
      </w:r>
    </w:p>
    <w:p w:rsidR="00000000" w:rsidRPr="00C5078E" w:rsidP="007504B5">
      <w:pPr>
        <w:pStyle w:val="BodyText"/>
      </w:pPr>
      <w:r w:rsidRPr="00C5078E">
        <w:t>Nil.</w:t>
      </w:r>
    </w:p>
    <w:p w:rsidR="00000000" w:rsidRPr="00C5078E" w:rsidP="00C5078E">
      <w:pPr>
        <w:pStyle w:val="Heading1"/>
      </w:pPr>
      <w:bookmarkStart w:id="4" w:name="O_1163306"/>
      <w:bookmarkEnd w:id="4"/>
      <w:r w:rsidRPr="00C5078E">
        <w:t>Unit Sector</w:t>
      </w:r>
    </w:p>
    <w:p w:rsidR="00000000" w:rsidRPr="00C5078E" w:rsidP="007504B5">
      <w:pPr>
        <w:pStyle w:val="BodyText"/>
      </w:pPr>
      <w:r w:rsidRPr="00C5078E">
        <w:t>Fire Protection Inspec</w:t>
      </w:r>
      <w:r w:rsidRPr="00C5078E">
        <w:t>tion and Testing</w:t>
      </w:r>
    </w:p>
    <w:p w:rsidR="00000000" w:rsidRPr="00C5078E" w:rsidP="00C5078E">
      <w:pPr>
        <w:pStyle w:val="Heading1"/>
      </w:pPr>
      <w:bookmarkStart w:id="5" w:name="O_1163305"/>
      <w:bookmarkEnd w:id="5"/>
      <w:r w:rsidRPr="00C5078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5078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Performance criteria describe what needs to be done to demonstrate achievement of the element.</w:t>
            </w:r>
          </w:p>
        </w:tc>
      </w:tr>
      <w:tr w:rsidTr="00C507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w:t>
            </w:r>
          </w:p>
        </w:tc>
        <w:tc>
          <w:tcPr>
            <w:tcW w:w="2357"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Plan and prepare to move loads and dangerous goods</w:t>
            </w: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1.1</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Read work instructions to identify requirements for moving loads and dangerous goods and clarify work tasks with relevant persons.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1.2</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Read safety signs, safety data sheets (SDS) and relevant dangerous goods documentation to identify types of gases to be handled, stored or transported, and required safe handling practices.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1.3</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Plan work activities to comply with relevant dangerous good</w:t>
            </w:r>
            <w:r w:rsidRPr="00C5078E">
              <w:t>s regulations, Australian Standards, work health and safety (WHS) and workplace requirements.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1.4</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Assess dangerous goods container sizes and movement paths to identify hazards.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1.5</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Assess risks posed by identified hazards and apply required risk cont</w:t>
            </w:r>
            <w:r w:rsidRPr="00C5078E">
              <w:t>rol methods according to workplace requirements.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1.6</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Select and use required personal protective equipment (PPE).</w:t>
            </w:r>
          </w:p>
        </w:tc>
      </w:tr>
      <w:tr w:rsidTr="00C507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5078E">
            <w:pPr>
              <w:pStyle w:val="BodyText"/>
              <w:rPr>
                <w:lang w:val="en-NZ"/>
              </w:rPr>
            </w:pPr>
          </w:p>
        </w:tc>
      </w:tr>
      <w:tr w:rsidTr="00C507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2</w:t>
            </w:r>
          </w:p>
        </w:tc>
        <w:tc>
          <w:tcPr>
            <w:tcW w:w="2357"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Use manual-handling techniques to move loads and materials.</w:t>
            </w: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2.1</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Select manual-handling techniques appropriate to the type of loads and materials being moved.</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2.2</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Use selected manual-handling techniques to safely move loads and materials according to workplace requirements</w:t>
            </w:r>
          </w:p>
        </w:tc>
      </w:tr>
      <w:tr w:rsidTr="00C507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5078E">
            <w:pPr>
              <w:pStyle w:val="BodyText"/>
              <w:rPr>
                <w:lang w:val="en-NZ"/>
              </w:rPr>
            </w:pPr>
          </w:p>
        </w:tc>
      </w:tr>
      <w:tr w:rsidTr="00C507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3</w:t>
            </w:r>
          </w:p>
        </w:tc>
        <w:tc>
          <w:tcPr>
            <w:tcW w:w="2357"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Use mechanical-handling aids to move loads and materials.</w:t>
            </w: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3.1</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Select mechanical-handling aids appropriate to the type of loads and materials being moved.</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3.2</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Use selected mechanical-handling aids to safely move loads and materials according to workplace</w:t>
            </w:r>
            <w:r w:rsidRPr="00C5078E">
              <w:t xml:space="preserve"> requirements.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3.3</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Inspect and maintain mechanical-handling aids to ensure correct working order according to manufacturer requirements.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3.4</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Report faulty mechanical-handling aids according to workplace requirements.</w:t>
            </w:r>
          </w:p>
        </w:tc>
      </w:tr>
      <w:tr w:rsidTr="00C507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5078E">
            <w:pPr>
              <w:pStyle w:val="BodyText"/>
              <w:rPr>
                <w:lang w:val="en-NZ"/>
              </w:rPr>
            </w:pPr>
          </w:p>
        </w:tc>
      </w:tr>
      <w:tr w:rsidTr="00C507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4</w:t>
            </w:r>
          </w:p>
        </w:tc>
        <w:tc>
          <w:tcPr>
            <w:tcW w:w="2357" w:type="dxa"/>
            <w:vMerge w:val="restart"/>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Adhere to regulatory requirements for moving and transporting hazardous or dangerous materials.</w:t>
            </w: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4.1</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Move hazardous or dangerous materials in compliance with regulatory and workplace requirements for ODS, SGG and dangerous goods.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4.2</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Obtain and use trans</w:t>
            </w:r>
            <w:r w:rsidRPr="00C5078E">
              <w:t>port documents and signage for hazardous or dangerous materials to be transported by road to comply with regulatory requirements.</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4.3</w:t>
            </w:r>
          </w:p>
        </w:tc>
        <w:tc>
          <w:tcPr>
            <w:tcW w:w="5659"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 xml:space="preserve">Comply with regulatory and workplace requirements for ODS, SGG and dangerous goods to transport hazardous or dangerous </w:t>
            </w:r>
            <w:r w:rsidRPr="00C5078E">
              <w:t>materials by road.</w:t>
            </w:r>
          </w:p>
        </w:tc>
      </w:tr>
      <w:tr w:rsidTr="00C507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4.4</w:t>
            </w:r>
          </w:p>
        </w:tc>
        <w:tc>
          <w:tcPr>
            <w:tcW w:w="5659" w:type="dxa"/>
            <w:tcBorders>
              <w:top w:val="nil"/>
              <w:left w:val="nil"/>
              <w:bottom w:val="nil"/>
              <w:right w:val="nil"/>
            </w:tcBorders>
            <w:tcMar>
              <w:top w:w="0" w:type="dxa"/>
              <w:left w:w="62" w:type="dxa"/>
              <w:bottom w:w="0" w:type="dxa"/>
              <w:right w:w="62" w:type="dxa"/>
            </w:tcMar>
          </w:tcPr>
          <w:p w:rsidR="00000000" w:rsidRPr="00C5078E" w:rsidP="00C5078E">
            <w:pPr>
              <w:pStyle w:val="BodyText"/>
            </w:pPr>
            <w:r w:rsidRPr="00C5078E">
              <w:t>Store hazardous or dangerous materials that form part of fire protection equipment or systems according to workplace and regulatory requirements.</w:t>
            </w:r>
          </w:p>
        </w:tc>
      </w:tr>
    </w:tbl>
    <w:p w:rsidR="00000000" w:rsidRPr="00C5078E" w:rsidP="00C5078E">
      <w:pPr>
        <w:pStyle w:val="BodyText"/>
      </w:pPr>
    </w:p>
    <w:p w:rsidR="00000000" w:rsidRPr="00C5078E" w:rsidP="00C5078E">
      <w:pPr>
        <w:pStyle w:val="AllowPageBreak"/>
      </w:pPr>
    </w:p>
    <w:p w:rsidR="00000000" w:rsidRPr="00C5078E" w:rsidP="00C5078E">
      <w:pPr>
        <w:pStyle w:val="Heading1"/>
      </w:pPr>
      <w:bookmarkStart w:id="6" w:name="O_1163304"/>
      <w:bookmarkEnd w:id="6"/>
      <w:r w:rsidRPr="00C5078E">
        <w:t>Foundation Skills</w:t>
      </w:r>
    </w:p>
    <w:p w:rsidR="00000000" w:rsidRPr="00C5078E" w:rsidP="007504B5">
      <w:pPr>
        <w:pStyle w:val="BodyText"/>
      </w:pPr>
      <w:r w:rsidRPr="00C5078E">
        <w:t>Foundation skills essential to performance are explicit in the performance criteria of this unit of competency.</w:t>
      </w:r>
    </w:p>
    <w:p w:rsidR="00000000" w:rsidRPr="00C5078E" w:rsidP="00C5078E">
      <w:pPr>
        <w:pStyle w:val="Heading1"/>
      </w:pPr>
      <w:bookmarkStart w:id="7" w:name="O_1163303"/>
      <w:bookmarkEnd w:id="7"/>
      <w:r w:rsidRPr="00C5078E">
        <w:t>Unit Mapping Information</w:t>
      </w:r>
    </w:p>
    <w:p w:rsidR="00000000" w:rsidRPr="00C5078E" w:rsidP="007504B5">
      <w:pPr>
        <w:pStyle w:val="BodyText"/>
      </w:pPr>
      <w:r w:rsidRPr="00C5078E">
        <w:t>Supersedes and is equivalent to CPPFES2003A Safely move loads and dangerous goods.</w:t>
      </w:r>
    </w:p>
    <w:p w:rsidR="00000000" w:rsidRPr="00C5078E" w:rsidP="00C5078E">
      <w:pPr>
        <w:pStyle w:val="Heading1"/>
      </w:pPr>
      <w:bookmarkStart w:id="8" w:name="O_1163296"/>
      <w:bookmarkEnd w:id="8"/>
      <w:r w:rsidRPr="00C5078E">
        <w:t>Links</w:t>
      </w:r>
    </w:p>
    <w:p w:rsidR="00000000" w:rsidRPr="00C5078E" w:rsidP="007504B5">
      <w:pPr>
        <w:pStyle w:val="BodyText"/>
      </w:pPr>
      <w:r w:rsidRPr="00C5078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1536">
        <w:rPr>
          <w:rStyle w:val="Hyperlink"/>
        </w:rPr>
        <w:t>https://vetnet.gov.au/Pages/TrainingDocs.aspx?q=6f3f9672-30e8-4835-b348-205dfcf13d9b</w:t>
      </w:r>
      <w:r>
        <w:fldChar w:fldCharType="end"/>
      </w:r>
    </w:p>
    <w:p w:rsidR="00000000" w:rsidRPr="00C5078E" w:rsidP="007504B5">
      <w:pPr>
        <w:pStyle w:val="BodyText"/>
        <w:sectPr w:rsidSect="00C5078E">
          <w:headerReference w:type="default" r:id="rId10"/>
          <w:footerReference w:type="default" r:id="rId11"/>
          <w:pgSz w:w="11908" w:h="16833"/>
          <w:pgMar w:top="1702" w:right="1418" w:bottom="1702" w:left="1418" w:header="992" w:footer="992" w:gutter="0"/>
          <w:cols w:space="720"/>
          <w:noEndnote/>
          <w:docGrid w:linePitch="299"/>
        </w:sectPr>
      </w:pPr>
    </w:p>
    <w:p w:rsidR="00000000" w:rsidRPr="00C5078E" w:rsidP="00C5078E">
      <w:pPr>
        <w:pStyle w:val="SuperHeading"/>
      </w:pPr>
      <w:r w:rsidRPr="00C5078E">
        <w:t>Assessment Requirements for CPPFES2</w:t>
      </w:r>
      <w:r w:rsidRPr="00C5078E">
        <w:t>003 Safely move loads and dangerous goods</w:t>
      </w:r>
    </w:p>
    <w:p w:rsidR="00000000" w:rsidRPr="00C5078E" w:rsidP="00C5078E">
      <w:pPr>
        <w:pStyle w:val="Heading1"/>
      </w:pPr>
      <w:bookmarkStart w:id="9" w:name="O_1163298"/>
      <w:bookmarkEnd w:id="9"/>
      <w:r w:rsidRPr="00C5078E">
        <w:t>Modification History</w:t>
      </w:r>
    </w:p>
    <w:tbl>
      <w:tblPr>
        <w:tblW w:w="9298" w:type="dxa"/>
        <w:tblLayout w:type="fixed"/>
        <w:tblCellMar>
          <w:left w:w="62" w:type="dxa"/>
          <w:right w:w="62" w:type="dxa"/>
        </w:tblCellMar>
        <w:tblLook w:val="0000"/>
      </w:tblPr>
      <w:tblGrid>
        <w:gridCol w:w="1182"/>
        <w:gridCol w:w="8116"/>
      </w:tblGrid>
      <w:tr w:rsidTr="00C5078E">
        <w:tblPrEx>
          <w:tblW w:w="9298" w:type="dxa"/>
          <w:tblLayout w:type="fixed"/>
          <w:tblCellMar>
            <w:left w:w="62" w:type="dxa"/>
            <w:right w:w="62" w:type="dxa"/>
          </w:tblCellMar>
          <w:tblLook w:val="0000"/>
        </w:tblPrEx>
        <w:tc>
          <w:tcPr>
            <w:tcW w:w="1182" w:type="dxa"/>
            <w:tcBorders>
              <w:top w:val="nil"/>
              <w:left w:val="nil"/>
              <w:bottom w:val="nil"/>
              <w:right w:val="nil"/>
            </w:tcBorders>
            <w:tcMar>
              <w:top w:w="0" w:type="dxa"/>
              <w:left w:w="62" w:type="dxa"/>
              <w:bottom w:w="0" w:type="dxa"/>
              <w:right w:w="62" w:type="dxa"/>
            </w:tcMar>
          </w:tcPr>
          <w:p w:rsidR="00000000" w:rsidP="00C5078E">
            <w:pPr>
              <w:pStyle w:val="BodyText"/>
              <w:rPr>
                <w:lang w:val="en-NZ"/>
              </w:rPr>
            </w:pPr>
            <w:r w:rsidRPr="00C5078E">
              <w:t>Release 1</w:t>
            </w:r>
          </w:p>
        </w:tc>
        <w:tc>
          <w:tcPr>
            <w:tcW w:w="8116" w:type="dxa"/>
            <w:tcBorders>
              <w:top w:val="nil"/>
              <w:left w:val="nil"/>
              <w:bottom w:val="nil"/>
              <w:right w:val="nil"/>
            </w:tcBorders>
            <w:tcMar>
              <w:top w:w="0" w:type="dxa"/>
              <w:left w:w="62" w:type="dxa"/>
              <w:bottom w:w="0" w:type="dxa"/>
              <w:right w:w="62" w:type="dxa"/>
            </w:tcMar>
          </w:tcPr>
          <w:p w:rsidR="00000000" w:rsidRPr="00C5078E" w:rsidP="00C5078E">
            <w:pPr>
              <w:pStyle w:val="BodyText"/>
            </w:pPr>
            <w:r w:rsidRPr="00C5078E">
              <w:t>This version first released with CPP Property Services Training Package Release 13.0.</w:t>
            </w:r>
          </w:p>
          <w:p w:rsidR="00000000" w:rsidRPr="00C5078E" w:rsidP="00C5078E">
            <w:pPr>
              <w:pStyle w:val="BodyText"/>
            </w:pPr>
            <w:r w:rsidRPr="00C5078E">
              <w:t>Supersedes and is equivalent to CPPFES2003A Safely move loads and dangerous goods.</w:t>
            </w:r>
          </w:p>
          <w:p w:rsidR="00000000" w:rsidRPr="00C5078E" w:rsidP="00C5078E">
            <w:pPr>
              <w:pStyle w:val="BodyText"/>
            </w:pPr>
            <w:r w:rsidRPr="00C5078E">
              <w:t>Unit updated to meet the Standards for Training Packages 2012. Updated licensing statement.</w:t>
            </w:r>
          </w:p>
        </w:tc>
      </w:tr>
    </w:tbl>
    <w:p w:rsidR="00000000" w:rsidRPr="00C5078E" w:rsidP="00C5078E">
      <w:pPr>
        <w:pStyle w:val="BodyText"/>
      </w:pPr>
    </w:p>
    <w:p w:rsidR="00000000" w:rsidRPr="00C5078E" w:rsidP="00C5078E">
      <w:pPr>
        <w:pStyle w:val="AllowPageBreak"/>
      </w:pPr>
    </w:p>
    <w:p w:rsidR="00000000" w:rsidRPr="00C5078E" w:rsidP="00C5078E">
      <w:pPr>
        <w:pStyle w:val="Heading1"/>
      </w:pPr>
      <w:bookmarkStart w:id="10" w:name="O_1163301"/>
      <w:bookmarkEnd w:id="10"/>
      <w:r w:rsidRPr="00C5078E">
        <w:t>Performance Evidence</w:t>
      </w:r>
    </w:p>
    <w:p w:rsidR="00000000" w:rsidRPr="00C5078E" w:rsidP="007504B5">
      <w:pPr>
        <w:pStyle w:val="BodyText"/>
      </w:pPr>
      <w:r w:rsidRPr="00C5078E">
        <w:t xml:space="preserve">To demonstrate competency, a candidate </w:t>
      </w:r>
      <w:r w:rsidRPr="00C5078E">
        <w:t>must meet the elements and performance criteria of this unit by safely moving loads and dangerous goods used in the fire protection industry, including:</w:t>
      </w:r>
    </w:p>
    <w:p w:rsidR="00000000" w:rsidRPr="00C5078E" w:rsidP="00C5078E">
      <w:pPr>
        <w:pStyle w:val="ListBullet"/>
      </w:pPr>
      <w:r w:rsidRPr="00C5078E">
        <w:t>manually handling at least one class 2.2 container having a minimum water capacity volume of 80 litres</w:t>
      </w:r>
      <w:r w:rsidRPr="00C5078E">
        <w:t xml:space="preserve"> from its secured, stored position onto a mechanical-handling aid, typically a trolley fitted with restraining straps, and then relocating the cylinder at least three metres from that position, and removing it from the mechanical-handling aid to a secured </w:t>
      </w:r>
      <w:r w:rsidRPr="00C5078E">
        <w:t>location</w:t>
      </w:r>
    </w:p>
    <w:p w:rsidR="00000000" w:rsidRPr="00C5078E" w:rsidP="00C5078E">
      <w:pPr>
        <w:pStyle w:val="ListBullet"/>
      </w:pPr>
      <w:r w:rsidRPr="00C5078E">
        <w:t>safely transporting two gaseous containers using a vehicle in compliance with dangerous goods regulations.</w:t>
      </w:r>
    </w:p>
    <w:p w:rsidR="00000000" w:rsidRPr="00C5078E" w:rsidP="00C5078E">
      <w:pPr>
        <w:pStyle w:val="AllowPageBreak"/>
      </w:pPr>
    </w:p>
    <w:p w:rsidR="00000000" w:rsidRPr="00C5078E" w:rsidP="00C5078E">
      <w:pPr>
        <w:pStyle w:val="Heading1"/>
      </w:pPr>
      <w:bookmarkStart w:id="11" w:name="O_1163300"/>
      <w:bookmarkEnd w:id="11"/>
      <w:r w:rsidRPr="00C5078E">
        <w:t>Knowledge Evidence</w:t>
      </w:r>
    </w:p>
    <w:p w:rsidR="00000000" w:rsidRPr="00C5078E" w:rsidP="007504B5">
      <w:pPr>
        <w:pStyle w:val="BodyText"/>
      </w:pPr>
      <w:r w:rsidRPr="00C5078E">
        <w:t>To be competent in this unit, a candidate must demonstrate knowledge of:</w:t>
      </w:r>
    </w:p>
    <w:p w:rsidR="00000000" w:rsidRPr="00C5078E" w:rsidP="00C5078E">
      <w:pPr>
        <w:pStyle w:val="ListBullet"/>
      </w:pPr>
      <w:r w:rsidRPr="00C5078E">
        <w:t>dangerous goods commonly used in the fire protection industry and key requirements, including:</w:t>
      </w:r>
    </w:p>
    <w:p w:rsidR="00000000" w:rsidRPr="00C5078E" w:rsidP="00C5078E">
      <w:pPr>
        <w:pStyle w:val="ListBullet2"/>
      </w:pPr>
      <w:r w:rsidRPr="00C5078E">
        <w:t>general storage requirements for all dangerous goods</w:t>
      </w:r>
    </w:p>
    <w:p w:rsidR="00000000" w:rsidRPr="00C5078E" w:rsidP="00C5078E">
      <w:pPr>
        <w:pStyle w:val="ListBullet2"/>
      </w:pPr>
      <w:r w:rsidRPr="00C5078E">
        <w:t>identification of dangerous goods by diamond-shaped symbol</w:t>
      </w:r>
    </w:p>
    <w:p w:rsidR="00000000" w:rsidRPr="00C5078E" w:rsidP="00C5078E">
      <w:pPr>
        <w:pStyle w:val="ListBullet2"/>
      </w:pPr>
      <w:r w:rsidRPr="00C5078E">
        <w:t>requirements for transporting dangerous goods by</w:t>
      </w:r>
      <w:r w:rsidRPr="00C5078E">
        <w:t xml:space="preserve"> a vehicle, especially class 2.2 for placarded loads and bulk loads</w:t>
      </w:r>
    </w:p>
    <w:p w:rsidR="00000000" w:rsidRPr="00C5078E" w:rsidP="00C5078E">
      <w:pPr>
        <w:pStyle w:val="ListBullet2"/>
      </w:pPr>
      <w:r w:rsidRPr="00C5078E">
        <w:t>storage requirements for gaseous containers, especially those containing ozone depleting substances (ODS) and synthetic greenhouse gases (SGG)</w:t>
      </w:r>
    </w:p>
    <w:p w:rsidR="00000000" w:rsidRPr="00C5078E" w:rsidP="00C5078E">
      <w:pPr>
        <w:pStyle w:val="ListBullet"/>
      </w:pPr>
      <w:r w:rsidRPr="00C5078E">
        <w:t xml:space="preserve">extinguishing agent handling licence (EAHL) </w:t>
      </w:r>
      <w:r w:rsidRPr="00C5078E">
        <w:t>requirements</w:t>
      </w:r>
    </w:p>
    <w:p w:rsidR="00000000" w:rsidRPr="00C5078E" w:rsidP="00C5078E">
      <w:pPr>
        <w:pStyle w:val="ListBullet"/>
      </w:pPr>
      <w:r w:rsidRPr="00C5078E">
        <w:t xml:space="preserve">handling and storage requirements for scheduled ODS and SGG in accordance with the </w:t>
      </w:r>
      <w:r w:rsidRPr="00C5078E">
        <w:rPr>
          <w:rStyle w:val="Emphasis"/>
        </w:rPr>
        <w:t>Fire Protection Industry (ODS &amp;SGG) Board ODS &amp; SGG Good Practice Guide</w:t>
      </w:r>
    </w:p>
    <w:p w:rsidR="00000000" w:rsidRPr="00C5078E" w:rsidP="00C5078E">
      <w:pPr>
        <w:pStyle w:val="ListBullet"/>
      </w:pPr>
      <w:r w:rsidRPr="00C5078E">
        <w:t>manual-handling techniques, including implications of:</w:t>
      </w:r>
    </w:p>
    <w:p w:rsidR="00000000" w:rsidRPr="00C5078E" w:rsidP="00C5078E">
      <w:pPr>
        <w:pStyle w:val="ListBullet2"/>
      </w:pPr>
      <w:r w:rsidRPr="00C5078E">
        <w:t>ignoring safety precautions used</w:t>
      </w:r>
      <w:r w:rsidRPr="00C5078E">
        <w:t xml:space="preserve"> with mechanical manual-handling aids</w:t>
      </w:r>
    </w:p>
    <w:p w:rsidR="00000000" w:rsidRPr="00C5078E" w:rsidP="00C5078E">
      <w:pPr>
        <w:pStyle w:val="ListBullet2"/>
      </w:pPr>
      <w:r w:rsidRPr="00C5078E">
        <w:t>incorrect manual-lifting techniques</w:t>
      </w:r>
    </w:p>
    <w:p w:rsidR="00000000" w:rsidRPr="00C5078E" w:rsidP="00C5078E">
      <w:pPr>
        <w:pStyle w:val="ListBullet"/>
      </w:pPr>
      <w:r w:rsidRPr="00C5078E">
        <w:t>maximum safe loads for vehicles</w:t>
      </w:r>
    </w:p>
    <w:p w:rsidR="00000000" w:rsidRPr="00C5078E" w:rsidP="00C5078E">
      <w:pPr>
        <w:pStyle w:val="ListBullet"/>
      </w:pPr>
      <w:r w:rsidRPr="00C5078E">
        <w:t>meaning of material handling applied to the role of a service technician</w:t>
      </w:r>
    </w:p>
    <w:p w:rsidR="00000000" w:rsidRPr="00C5078E" w:rsidP="00C5078E">
      <w:pPr>
        <w:pStyle w:val="ListBullet"/>
      </w:pPr>
      <w:r w:rsidRPr="00C5078E">
        <w:t>methods used to prevent ODS and SGG emissions in the workplace</w:t>
      </w:r>
    </w:p>
    <w:p w:rsidR="00000000" w:rsidRPr="00C5078E" w:rsidP="00C5078E">
      <w:pPr>
        <w:pStyle w:val="ListBullet"/>
      </w:pPr>
      <w:r w:rsidRPr="00C5078E">
        <w:t>purpose and structure of relevant dangerous goods legislation, including HAZCHEM signs and emergency information panels</w:t>
      </w:r>
    </w:p>
    <w:p w:rsidR="00000000" w:rsidRPr="00C5078E" w:rsidP="00C5078E">
      <w:pPr>
        <w:pStyle w:val="ListBullet"/>
      </w:pPr>
      <w:r w:rsidRPr="00C5078E">
        <w:t>purpose of hazard identification, hazard assessment and hazard control related to moving loads and dangerous goods</w:t>
      </w:r>
    </w:p>
    <w:p w:rsidR="00000000" w:rsidRPr="00C5078E" w:rsidP="00C5078E">
      <w:pPr>
        <w:pStyle w:val="ListBullet"/>
      </w:pPr>
      <w:r w:rsidRPr="00C5078E">
        <w:t>reasons for preventin</w:t>
      </w:r>
      <w:r w:rsidRPr="00C5078E">
        <w:t>g ODS and SGG emissions in the workplace</w:t>
      </w:r>
    </w:p>
    <w:p w:rsidR="00000000" w:rsidRPr="00C5078E" w:rsidP="00C5078E">
      <w:pPr>
        <w:pStyle w:val="ListBullet"/>
      </w:pPr>
      <w:r w:rsidRPr="00C5078E">
        <w:t>workplace requirements for moving loads and dangerous goods:</w:t>
      </w:r>
    </w:p>
    <w:p w:rsidR="00000000" w:rsidRPr="00C5078E" w:rsidP="00C5078E">
      <w:pPr>
        <w:pStyle w:val="ListBullet2"/>
      </w:pPr>
      <w:r w:rsidRPr="00C5078E">
        <w:t>documentation</w:t>
      </w:r>
    </w:p>
    <w:p w:rsidR="00000000" w:rsidRPr="00C5078E" w:rsidP="00C5078E">
      <w:pPr>
        <w:pStyle w:val="ListBullet2"/>
      </w:pPr>
      <w:r w:rsidRPr="00C5078E">
        <w:t>environmental protection</w:t>
      </w:r>
    </w:p>
    <w:p w:rsidR="00000000" w:rsidRPr="00C5078E" w:rsidP="00C5078E">
      <w:pPr>
        <w:pStyle w:val="ListBullet2"/>
      </w:pPr>
      <w:r w:rsidRPr="00C5078E">
        <w:t>maintenance of tools and equipment</w:t>
      </w:r>
    </w:p>
    <w:p w:rsidR="00000000" w:rsidRPr="00C5078E" w:rsidP="00C5078E">
      <w:pPr>
        <w:pStyle w:val="ListBullet2"/>
      </w:pPr>
      <w:r w:rsidRPr="00C5078E">
        <w:t>work health and safety (WHS), including hazard and risk identification and cont</w:t>
      </w:r>
      <w:r w:rsidRPr="00C5078E">
        <w:t>rol.</w:t>
      </w:r>
    </w:p>
    <w:p w:rsidR="00000000" w:rsidRPr="00C5078E" w:rsidP="00C5078E">
      <w:pPr>
        <w:pStyle w:val="AllowPageBreak"/>
      </w:pPr>
    </w:p>
    <w:p w:rsidR="00000000" w:rsidRPr="00C5078E" w:rsidP="00C5078E">
      <w:pPr>
        <w:pStyle w:val="Heading1"/>
      </w:pPr>
      <w:bookmarkStart w:id="12" w:name="O_1163299"/>
      <w:bookmarkEnd w:id="12"/>
      <w:r w:rsidRPr="00C5078E">
        <w:t>Assessment Conditions</w:t>
      </w:r>
    </w:p>
    <w:p w:rsidR="00000000" w:rsidRPr="00C5078E" w:rsidP="007504B5">
      <w:pPr>
        <w:pStyle w:val="BodyText"/>
      </w:pPr>
      <w:r w:rsidRPr="00C5078E">
        <w:t xml:space="preserve">Assessors must meet the requirements for assessors contained in the Standards for Registered Training Organisations. </w:t>
      </w:r>
    </w:p>
    <w:p w:rsidR="00000000" w:rsidRPr="00C5078E" w:rsidP="007504B5">
      <w:pPr>
        <w:pStyle w:val="BodyText"/>
      </w:pPr>
      <w:r w:rsidRPr="00C5078E">
        <w:t>Assessment must be conducted in the workplace or a simulate</w:t>
      </w:r>
      <w:r w:rsidRPr="00C5078E">
        <w:t>d workplace using realistic conditions, materials, activities, responsibilities, procedures, safety requirements and environmental considerations.</w:t>
      </w:r>
    </w:p>
    <w:p w:rsidR="00000000" w:rsidRPr="00C5078E" w:rsidP="007504B5">
      <w:pPr>
        <w:pStyle w:val="BodyText"/>
      </w:pPr>
      <w:r w:rsidRPr="00C5078E">
        <w:t>Candidates must have access to documentation, tools, equipment, loads, materials and vehicle required to achi</w:t>
      </w:r>
      <w:r w:rsidRPr="00C5078E">
        <w:t>eve the performance evidence.</w:t>
      </w:r>
    </w:p>
    <w:p w:rsidR="00000000" w:rsidRPr="00C5078E" w:rsidP="00C5078E">
      <w:pPr>
        <w:pStyle w:val="Heading1"/>
      </w:pPr>
      <w:bookmarkStart w:id="13" w:name="O_1163297"/>
      <w:bookmarkEnd w:id="13"/>
      <w:r w:rsidRPr="00C5078E">
        <w:t>Links</w:t>
      </w:r>
    </w:p>
    <w:p w:rsidR="00000000" w:rsidRPr="00C5078E" w:rsidP="007504B5">
      <w:pPr>
        <w:pStyle w:val="BodyText"/>
      </w:pPr>
      <w:r w:rsidRPr="00C5078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1536">
        <w:rPr>
          <w:rStyle w:val="Hyperlink"/>
        </w:rPr>
        <w:t>https://vetnet.gov.au/Pages/TrainingDocs.aspx?q=6f3f9672-30e8-4835-b348-205dfcf13d9b</w:t>
      </w:r>
      <w:r>
        <w:fldChar w:fldCharType="end"/>
      </w:r>
    </w:p>
    <w:p w:rsidR="00000000" w:rsidRPr="00C5078E" w:rsidP="00C5078E"/>
    <w:sectPr w:rsidSect="00C507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rsidRPr="007504B5" w:rsidP="00750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B5" w:rsidP="00C50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4B5" w:rsidP="00C507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504B5" w:rsidP="00C507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rsidP="00C5078E">
    <w:pPr>
      <w:pStyle w:val="Footer"/>
      <w:framePr w:wrap="around"/>
    </w:pPr>
    <w:r>
      <w:fldChar w:fldCharType="begin"/>
    </w:r>
    <w:r>
      <w:instrText xml:space="preserve"> DOCPROPERTY  Subject  \* MERGEFORMAT </w:instrText>
    </w:r>
    <w:r>
      <w:fldChar w:fldCharType="separate"/>
    </w:r>
    <w:r w:rsidR="007504B5">
      <w:t>Approved</w:t>
    </w:r>
    <w:r w:rsidR="007504B5">
      <w:fldChar w:fldCharType="end"/>
    </w:r>
    <w:r>
      <w:tab/>
      <w:t xml:space="preserve">Page </w:t>
    </w:r>
    <w:r>
      <w:fldChar w:fldCharType="begin"/>
    </w:r>
    <w:r>
      <w:instrText xml:space="preserve"> PAGE  \* Arabic  \* MERGEFORMAT </w:instrText>
    </w:r>
    <w:r>
      <w:fldChar w:fldCharType="separate"/>
    </w:r>
    <w:r w:rsidR="007504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4B5">
      <w:rPr>
        <w:noProof/>
      </w:rPr>
      <w:t>4</w:t>
    </w:r>
    <w:r>
      <w:rPr>
        <w:noProof/>
      </w:rPr>
      <w:fldChar w:fldCharType="end"/>
    </w:r>
  </w:p>
  <w:p w:rsidR="00C5078E" w:rsidP="00C5078E">
    <w:pPr>
      <w:pStyle w:val="Footer"/>
      <w:framePr w:wrap="around"/>
    </w:pPr>
    <w:r>
      <w:t xml:space="preserve">© Commonwealth of Australia, </w:t>
    </w:r>
    <w:r>
      <w:fldChar w:fldCharType="begin"/>
    </w:r>
    <w:r>
      <w:instrText xml:space="preserve"> DATE  \@ "yyyy"  \* MERGEFORMAT </w:instrText>
    </w:r>
    <w:r>
      <w:fldChar w:fldCharType="separate"/>
    </w:r>
    <w:r w:rsidR="007504B5">
      <w:rPr>
        <w:noProof/>
      </w:rPr>
      <w:t>2025</w:t>
    </w:r>
    <w:r>
      <w:fldChar w:fldCharType="end"/>
    </w:r>
    <w:r>
      <w:tab/>
    </w:r>
    <w:r>
      <w:fldChar w:fldCharType="begin"/>
    </w:r>
    <w:r>
      <w:instrText xml:space="preserve"> DOCPROPERTY  Author  \* MERGEFORMAT </w:instrText>
    </w:r>
    <w:r>
      <w:fldChar w:fldCharType="separate"/>
    </w:r>
    <w:r w:rsidR="007504B5">
      <w:t>BuildSkills Australia</w:t>
    </w:r>
    <w:r w:rsidR="007504B5">
      <w:fldChar w:fldCharType="end"/>
    </w:r>
  </w:p>
  <w:p w:rsidR="00C5078E" w:rsidP="00C50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78E" w:rsidRPr="007504B5" w:rsidP="007504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B5" w:rsidRPr="002D2AF8" w:rsidP="00C5078E">
    <w:pPr>
      <w:pStyle w:val="Header"/>
      <w:framePr w:wrap="around"/>
    </w:pPr>
    <w:r>
      <w:fldChar w:fldCharType="begin"/>
    </w:r>
    <w:r>
      <w:instrText xml:space="preserve"> TITLE   \* MERGEFORMAT </w:instrText>
    </w:r>
    <w:r>
      <w:fldChar w:fldCharType="separate"/>
    </w:r>
    <w:r>
      <w:t>CPPFES2003 Safely move loads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4B5" w:rsidP="00C507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8E" w:rsidRPr="002D2AF8" w:rsidP="00C5078E">
    <w:pPr>
      <w:pStyle w:val="Header"/>
      <w:framePr w:wrap="around"/>
    </w:pPr>
    <w:r>
      <w:fldChar w:fldCharType="begin"/>
    </w:r>
    <w:r>
      <w:instrText xml:space="preserve"> TITLE   \* MERGEFORMAT </w:instrText>
    </w:r>
    <w:r>
      <w:fldChar w:fldCharType="separate"/>
    </w:r>
    <w:r w:rsidR="007504B5">
      <w:t>CPPFES2003 Safely move loads and dangerous goods</w:t>
    </w:r>
    <w:r w:rsidR="007504B5">
      <w:fldChar w:fldCharType="end"/>
    </w:r>
    <w:r>
      <w:tab/>
      <w:t xml:space="preserve">Date this document was generated: </w:t>
    </w:r>
    <w:r>
      <w:fldChar w:fldCharType="begin"/>
    </w:r>
    <w:r>
      <w:instrText xml:space="preserve"> CREATEDATE  \@ "d MMMM yyyy"  \* MERGEFORMAT </w:instrText>
    </w:r>
    <w:r>
      <w:fldChar w:fldCharType="separate"/>
    </w:r>
    <w:r w:rsidR="007504B5">
      <w:rPr>
        <w:noProof/>
      </w:rPr>
      <w:t>2 March 2025</w:t>
    </w:r>
    <w:r>
      <w:fldChar w:fldCharType="end"/>
    </w:r>
  </w:p>
  <w:p w:rsidR="00C5078E" w:rsidP="00C50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23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0C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364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78E"/>
    <w:pPr>
      <w:spacing w:before="360" w:after="60"/>
      <w:outlineLvl w:val="0"/>
    </w:pPr>
    <w:rPr>
      <w:sz w:val="32"/>
    </w:rPr>
  </w:style>
  <w:style w:type="paragraph" w:styleId="Heading2">
    <w:name w:val="heading 2"/>
    <w:basedOn w:val="HeadingBase"/>
    <w:next w:val="BodyText"/>
    <w:link w:val="Heading2Char"/>
    <w:qFormat/>
    <w:rsid w:val="00C5078E"/>
    <w:pPr>
      <w:keepLines/>
      <w:spacing w:before="240" w:after="120"/>
      <w:outlineLvl w:val="1"/>
    </w:pPr>
    <w:rPr>
      <w:sz w:val="28"/>
      <w:szCs w:val="40"/>
    </w:rPr>
  </w:style>
  <w:style w:type="paragraph" w:styleId="Heading3">
    <w:name w:val="heading 3"/>
    <w:basedOn w:val="HeadingBase"/>
    <w:next w:val="BodyText"/>
    <w:link w:val="Heading3Char"/>
    <w:qFormat/>
    <w:rsid w:val="00C5078E"/>
    <w:pPr>
      <w:spacing w:before="180" w:after="120"/>
      <w:outlineLvl w:val="2"/>
    </w:pPr>
    <w:rPr>
      <w:spacing w:val="-10"/>
      <w:kern w:val="32"/>
    </w:rPr>
  </w:style>
  <w:style w:type="paragraph" w:styleId="Heading4">
    <w:name w:val="heading 4"/>
    <w:basedOn w:val="HeadingBase"/>
    <w:next w:val="BodyText"/>
    <w:link w:val="Heading4Char"/>
    <w:qFormat/>
    <w:rsid w:val="00C5078E"/>
    <w:pPr>
      <w:spacing w:before="160" w:after="120"/>
      <w:outlineLvl w:val="3"/>
    </w:pPr>
    <w:rPr>
      <w:sz w:val="22"/>
    </w:rPr>
  </w:style>
  <w:style w:type="paragraph" w:styleId="Heading5">
    <w:name w:val="heading 5"/>
    <w:basedOn w:val="HeadingBase"/>
    <w:next w:val="Normal"/>
    <w:link w:val="Heading5Char"/>
    <w:qFormat/>
    <w:rsid w:val="00C5078E"/>
    <w:pPr>
      <w:spacing w:before="80"/>
      <w:outlineLvl w:val="4"/>
    </w:pPr>
    <w:rPr>
      <w:color w:val="918585"/>
      <w:sz w:val="20"/>
    </w:rPr>
  </w:style>
  <w:style w:type="paragraph" w:styleId="Heading6">
    <w:name w:val="heading 6"/>
    <w:basedOn w:val="HeadingBase"/>
    <w:next w:val="Normal"/>
    <w:link w:val="Heading6Char"/>
    <w:qFormat/>
    <w:rsid w:val="00C5078E"/>
    <w:pPr>
      <w:spacing w:before="60"/>
      <w:outlineLvl w:val="5"/>
    </w:pPr>
    <w:rPr>
      <w:color w:val="918585"/>
      <w:sz w:val="20"/>
    </w:rPr>
  </w:style>
  <w:style w:type="paragraph" w:styleId="Heading7">
    <w:name w:val="heading 7"/>
    <w:basedOn w:val="Normal"/>
    <w:next w:val="Normal"/>
    <w:link w:val="Heading7Char"/>
    <w:qFormat/>
    <w:rsid w:val="00C5078E"/>
    <w:pPr>
      <w:ind w:left="720"/>
      <w:outlineLvl w:val="6"/>
    </w:pPr>
    <w:rPr>
      <w:i/>
    </w:rPr>
  </w:style>
  <w:style w:type="paragraph" w:styleId="Heading8">
    <w:name w:val="heading 8"/>
    <w:basedOn w:val="Normal"/>
    <w:next w:val="Normal"/>
    <w:link w:val="Heading8Char"/>
    <w:qFormat/>
    <w:rsid w:val="00C5078E"/>
    <w:pPr>
      <w:ind w:left="720"/>
      <w:outlineLvl w:val="7"/>
    </w:pPr>
    <w:rPr>
      <w:i/>
    </w:rPr>
  </w:style>
  <w:style w:type="paragraph" w:styleId="Heading9">
    <w:name w:val="heading 9"/>
    <w:basedOn w:val="Normal"/>
    <w:next w:val="Normal"/>
    <w:link w:val="Heading9Char"/>
    <w:qFormat/>
    <w:rsid w:val="00C5078E"/>
    <w:pPr>
      <w:ind w:left="720"/>
      <w:outlineLvl w:val="8"/>
    </w:pPr>
    <w:rPr>
      <w:i/>
    </w:rPr>
  </w:style>
  <w:style w:type="character" w:default="1" w:styleId="DefaultParagraphFont">
    <w:name w:val="Default Paragraph Font"/>
    <w:uiPriority w:val="1"/>
    <w:unhideWhenUsed/>
    <w:rsid w:val="00C50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78E"/>
  </w:style>
  <w:style w:type="character" w:customStyle="1" w:styleId="Heading1Char">
    <w:name w:val="Heading 1 Char"/>
    <w:basedOn w:val="DefaultParagraphFont"/>
    <w:link w:val="Heading1"/>
    <w:rsid w:val="00C5078E"/>
    <w:rPr>
      <w:rFonts w:ascii="Times New Roman" w:eastAsia="Times New Roman" w:hAnsi="Times New Roman" w:cs="Times New Roman"/>
      <w:b/>
      <w:sz w:val="32"/>
      <w:szCs w:val="20"/>
      <w:lang w:eastAsia="en-US"/>
    </w:rPr>
  </w:style>
  <w:style w:type="paragraph" w:styleId="BodyText">
    <w:name w:val="Body Text"/>
    <w:basedOn w:val="Normal"/>
    <w:link w:val="BodyTextChar"/>
    <w:rsid w:val="00C50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78E"/>
    <w:rPr>
      <w:rFonts w:ascii="Times New Roman" w:eastAsia="Times New Roman" w:hAnsi="Times New Roman" w:cs="Times New Roman"/>
      <w:sz w:val="24"/>
      <w:lang w:eastAsia="en-US"/>
    </w:rPr>
  </w:style>
  <w:style w:type="paragraph" w:styleId="ListBullet">
    <w:name w:val="List Bullet"/>
    <w:basedOn w:val="List"/>
    <w:rsid w:val="00C5078E"/>
    <w:pPr>
      <w:numPr>
        <w:numId w:val="12"/>
      </w:numPr>
      <w:tabs>
        <w:tab w:val="clear" w:pos="340"/>
      </w:tabs>
      <w:spacing w:before="40" w:after="40"/>
    </w:pPr>
  </w:style>
  <w:style w:type="paragraph" w:styleId="ListBullet2">
    <w:name w:val="List Bullet 2"/>
    <w:basedOn w:val="List2"/>
    <w:rsid w:val="00C5078E"/>
    <w:pPr>
      <w:numPr>
        <w:numId w:val="13"/>
      </w:numPr>
      <w:tabs>
        <w:tab w:val="clear" w:pos="680"/>
      </w:tabs>
    </w:pPr>
  </w:style>
  <w:style w:type="character" w:styleId="Emphasis">
    <w:name w:val="Emphasis"/>
    <w:basedOn w:val="DefaultParagraphFont"/>
    <w:qFormat/>
    <w:rsid w:val="00C5078E"/>
    <w:rPr>
      <w:i/>
    </w:rPr>
  </w:style>
  <w:style w:type="paragraph" w:customStyle="1" w:styleId="SuperHeading">
    <w:name w:val="SuperHeading"/>
    <w:basedOn w:val="Normal"/>
    <w:rsid w:val="00C5078E"/>
    <w:pPr>
      <w:spacing w:before="240" w:after="120"/>
      <w:outlineLvl w:val="0"/>
    </w:pPr>
    <w:rPr>
      <w:rFonts w:ascii="Times New Roman" w:hAnsi="Times New Roman"/>
      <w:b/>
      <w:sz w:val="32"/>
    </w:rPr>
  </w:style>
  <w:style w:type="paragraph" w:customStyle="1" w:styleId="AllowPageBreak">
    <w:name w:val="AllowPageBreak"/>
    <w:rsid w:val="00C50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78E"/>
    <w:rPr>
      <w:rFonts w:ascii="Courier New" w:eastAsia="Times New Roman" w:hAnsi="Courier New" w:cs="Times New Roman"/>
      <w:i/>
      <w:szCs w:val="20"/>
      <w:lang w:eastAsia="en-US"/>
    </w:rPr>
  </w:style>
  <w:style w:type="paragraph" w:customStyle="1" w:styleId="HeadingBase">
    <w:name w:val="Heading Base"/>
    <w:rsid w:val="00C50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78E"/>
    <w:pPr>
      <w:tabs>
        <w:tab w:val="right" w:leader="dot" w:pos="9072"/>
      </w:tabs>
      <w:ind w:left="567"/>
    </w:pPr>
    <w:rPr>
      <w:szCs w:val="22"/>
    </w:rPr>
  </w:style>
  <w:style w:type="paragraph" w:customStyle="1" w:styleId="TOCBase">
    <w:name w:val="TOC Base"/>
    <w:rsid w:val="00C50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78E"/>
    <w:pPr>
      <w:tabs>
        <w:tab w:val="right" w:leader="dot" w:pos="9072"/>
      </w:tabs>
      <w:spacing w:before="40" w:after="40"/>
      <w:ind w:left="284"/>
    </w:pPr>
    <w:rPr>
      <w:rFonts w:ascii="Times New Roman" w:hAnsi="Times New Roman"/>
    </w:rPr>
  </w:style>
  <w:style w:type="paragraph" w:styleId="TOC1">
    <w:name w:val="toc 1"/>
    <w:basedOn w:val="TOCBase"/>
    <w:next w:val="Normal"/>
    <w:rsid w:val="00C50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78E"/>
    <w:rPr>
      <w:rFonts w:ascii="Times New Roman" w:eastAsia="Times New Roman" w:hAnsi="Times New Roman" w:cs="Times New Roman"/>
      <w:sz w:val="16"/>
      <w:lang w:eastAsia="en-US"/>
    </w:rPr>
  </w:style>
  <w:style w:type="paragraph" w:styleId="Title">
    <w:name w:val="Title"/>
    <w:basedOn w:val="HeadingBase"/>
    <w:link w:val="TitleChar"/>
    <w:qFormat/>
    <w:rsid w:val="00C5078E"/>
    <w:pPr>
      <w:spacing w:before="5040"/>
      <w:jc w:val="center"/>
    </w:pPr>
    <w:rPr>
      <w:sz w:val="48"/>
      <w:szCs w:val="72"/>
      <w:lang w:val="en-US"/>
    </w:rPr>
  </w:style>
  <w:style w:type="character" w:customStyle="1" w:styleId="TitleChar">
    <w:name w:val="Title Char"/>
    <w:basedOn w:val="DefaultParagraphFont"/>
    <w:link w:val="Title"/>
    <w:rsid w:val="00C50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78E"/>
    <w:pPr>
      <w:tabs>
        <w:tab w:val="left" w:pos="3600"/>
        <w:tab w:val="left" w:pos="3958"/>
      </w:tabs>
    </w:pPr>
  </w:style>
  <w:style w:type="paragraph" w:styleId="List">
    <w:name w:val="List"/>
    <w:basedOn w:val="BodyText"/>
    <w:next w:val="BodyText"/>
    <w:rsid w:val="00C5078E"/>
    <w:pPr>
      <w:tabs>
        <w:tab w:val="left" w:pos="340"/>
      </w:tabs>
      <w:spacing w:before="60" w:after="60"/>
      <w:ind w:left="340" w:hanging="340"/>
    </w:pPr>
  </w:style>
  <w:style w:type="paragraph" w:customStyle="1" w:styleId="Note">
    <w:name w:val="Note"/>
    <w:basedOn w:val="BodyText"/>
    <w:rsid w:val="00C507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078E"/>
    <w:rPr>
      <w:b/>
      <w:spacing w:val="0"/>
    </w:rPr>
  </w:style>
  <w:style w:type="paragraph" w:customStyle="1" w:styleId="SuperTitle">
    <w:name w:val="SuperTitle"/>
    <w:basedOn w:val="Title"/>
    <w:rsid w:val="00C5078E"/>
    <w:pPr>
      <w:framePr w:wrap="auto" w:hAnchor="text" w:y="6049"/>
    </w:pPr>
    <w:rPr>
      <w:color w:val="000000"/>
      <w:sz w:val="40"/>
    </w:rPr>
  </w:style>
  <w:style w:type="paragraph" w:customStyle="1" w:styleId="TOCTitle">
    <w:name w:val="TOCTitle"/>
    <w:basedOn w:val="Heading1"/>
    <w:rsid w:val="00C5078E"/>
    <w:pPr>
      <w:spacing w:after="240"/>
      <w:jc w:val="center"/>
      <w:outlineLvl w:val="9"/>
    </w:pPr>
    <w:rPr>
      <w:caps/>
    </w:rPr>
  </w:style>
  <w:style w:type="paragraph" w:customStyle="1" w:styleId="Version">
    <w:name w:val="Version"/>
    <w:rsid w:val="00C50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78E"/>
    <w:pPr>
      <w:keepNext w:val="0"/>
      <w:tabs>
        <w:tab w:val="right" w:pos="4176"/>
      </w:tabs>
      <w:ind w:left="198" w:hanging="198"/>
    </w:pPr>
    <w:rPr>
      <w:rFonts w:ascii="Garamond" w:hAnsi="Garamond"/>
    </w:rPr>
  </w:style>
  <w:style w:type="paragraph" w:styleId="IndexHeading">
    <w:name w:val="index heading"/>
    <w:basedOn w:val="Normal"/>
    <w:next w:val="Index1"/>
    <w:semiHidden/>
    <w:rsid w:val="00C5078E"/>
    <w:pPr>
      <w:spacing w:before="120" w:after="120"/>
    </w:pPr>
    <w:rPr>
      <w:rFonts w:ascii="Arial" w:hAnsi="Arial"/>
      <w:b/>
      <w:color w:val="918585"/>
      <w:sz w:val="24"/>
    </w:rPr>
  </w:style>
  <w:style w:type="paragraph" w:styleId="Header">
    <w:name w:val="header"/>
    <w:basedOn w:val="Normal"/>
    <w:link w:val="HeaderChar"/>
    <w:rsid w:val="00C50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78E"/>
    <w:rPr>
      <w:rFonts w:ascii="Times New Roman" w:eastAsia="Times New Roman" w:hAnsi="Times New Roman" w:cs="Times New Roman"/>
      <w:sz w:val="16"/>
      <w:szCs w:val="20"/>
      <w:lang w:val="en-GB" w:eastAsia="en-US"/>
    </w:rPr>
  </w:style>
  <w:style w:type="paragraph" w:customStyle="1" w:styleId="Chapter">
    <w:name w:val="Chapter"/>
    <w:basedOn w:val="Normal"/>
    <w:rsid w:val="00C5078E"/>
    <w:pPr>
      <w:spacing w:before="240"/>
    </w:pPr>
    <w:rPr>
      <w:rFonts w:ascii="Times New Roman" w:hAnsi="Times New Roman"/>
      <w:smallCaps/>
      <w:spacing w:val="80"/>
      <w:sz w:val="28"/>
    </w:rPr>
  </w:style>
  <w:style w:type="paragraph" w:customStyle="1" w:styleId="InChapter">
    <w:name w:val="InChapter"/>
    <w:basedOn w:val="Heading3"/>
    <w:rsid w:val="00C5078E"/>
    <w:pPr>
      <w:spacing w:after="240"/>
      <w:outlineLvl w:val="9"/>
    </w:pPr>
    <w:rPr>
      <w:noProof/>
    </w:rPr>
  </w:style>
  <w:style w:type="paragraph" w:styleId="Index2">
    <w:name w:val="index 2"/>
    <w:basedOn w:val="Normal"/>
    <w:next w:val="Normal"/>
    <w:semiHidden/>
    <w:rsid w:val="00C5078E"/>
    <w:pPr>
      <w:tabs>
        <w:tab w:val="right" w:pos="4176"/>
      </w:tabs>
      <w:ind w:left="568" w:hanging="284"/>
    </w:pPr>
    <w:rPr>
      <w:rFonts w:ascii="Garamond" w:hAnsi="Garamond"/>
    </w:rPr>
  </w:style>
  <w:style w:type="paragraph" w:customStyle="1" w:styleId="Byline">
    <w:name w:val="Byline"/>
    <w:rsid w:val="00C50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78E"/>
    <w:pPr>
      <w:tabs>
        <w:tab w:val="clear" w:pos="3600"/>
        <w:tab w:val="clear" w:pos="3958"/>
      </w:tabs>
      <w:jc w:val="right"/>
    </w:pPr>
  </w:style>
  <w:style w:type="paragraph" w:styleId="Caption">
    <w:name w:val="caption"/>
    <w:basedOn w:val="BodyText"/>
    <w:next w:val="Normal"/>
    <w:qFormat/>
    <w:rsid w:val="00C5078E"/>
    <w:pPr>
      <w:framePr w:w="2268" w:hSpace="181" w:vSpace="181" w:wrap="around" w:vAnchor="text" w:hAnchor="page" w:x="1135" w:y="285" w:anchorLock="1"/>
    </w:pPr>
    <w:rPr>
      <w:i/>
    </w:rPr>
  </w:style>
  <w:style w:type="paragraph" w:customStyle="1" w:styleId="MiniTOCTitle">
    <w:name w:val="MiniTOCTitle"/>
    <w:basedOn w:val="Heading4"/>
    <w:rsid w:val="00C5078E"/>
    <w:pPr>
      <w:spacing w:before="240"/>
      <w:outlineLvl w:val="9"/>
    </w:pPr>
    <w:rPr>
      <w:noProof/>
      <w:sz w:val="24"/>
    </w:rPr>
  </w:style>
  <w:style w:type="paragraph" w:customStyle="1" w:styleId="MiniTOCItem">
    <w:name w:val="MiniTOCItem"/>
    <w:basedOn w:val="ListBullet"/>
    <w:rsid w:val="00C5078E"/>
    <w:pPr>
      <w:numPr>
        <w:numId w:val="0"/>
      </w:numPr>
      <w:tabs>
        <w:tab w:val="right" w:leader="dot" w:pos="6521"/>
      </w:tabs>
      <w:spacing w:before="0" w:after="0"/>
    </w:pPr>
  </w:style>
  <w:style w:type="paragraph" w:customStyle="1" w:styleId="TOFTitle">
    <w:name w:val="TOFTitle"/>
    <w:basedOn w:val="TOCTitle"/>
    <w:rsid w:val="00C5078E"/>
  </w:style>
  <w:style w:type="paragraph" w:styleId="TableofFigures">
    <w:name w:val="table of figures"/>
    <w:basedOn w:val="Normal"/>
    <w:next w:val="Normal"/>
    <w:semiHidden/>
    <w:rsid w:val="00C5078E"/>
    <w:pPr>
      <w:tabs>
        <w:tab w:val="right" w:leader="dot" w:pos="9072"/>
      </w:tabs>
      <w:ind w:left="970" w:hanging="403"/>
    </w:pPr>
    <w:rPr>
      <w:rFonts w:ascii="Times New Roman" w:hAnsi="Times New Roman"/>
      <w:b/>
    </w:rPr>
  </w:style>
  <w:style w:type="paragraph" w:styleId="ListNumber">
    <w:name w:val="List Number"/>
    <w:basedOn w:val="List"/>
    <w:rsid w:val="00C5078E"/>
    <w:pPr>
      <w:numPr>
        <w:numId w:val="15"/>
      </w:numPr>
      <w:tabs>
        <w:tab w:val="clear" w:pos="340"/>
      </w:tabs>
    </w:pPr>
  </w:style>
  <w:style w:type="character" w:customStyle="1" w:styleId="WingdingSymbols">
    <w:name w:val="Wingding Symbols"/>
    <w:rsid w:val="00C5078E"/>
    <w:rPr>
      <w:rFonts w:ascii="Wingdings" w:hAnsi="Wingdings"/>
    </w:rPr>
  </w:style>
  <w:style w:type="paragraph" w:customStyle="1" w:styleId="TableHeading">
    <w:name w:val="Table Heading"/>
    <w:basedOn w:val="HeadingBase"/>
    <w:rsid w:val="00C5078E"/>
    <w:pPr>
      <w:keepLines/>
      <w:pBdr>
        <w:bottom w:val="single" w:sz="6" w:space="1" w:color="918585"/>
      </w:pBdr>
      <w:spacing w:before="240"/>
    </w:pPr>
  </w:style>
  <w:style w:type="character" w:customStyle="1" w:styleId="HotSpot">
    <w:name w:val="HotSpot"/>
    <w:rsid w:val="00C5078E"/>
    <w:rPr>
      <w:color w:val="0033CC"/>
      <w:u w:val="none"/>
    </w:rPr>
  </w:style>
  <w:style w:type="paragraph" w:customStyle="1" w:styleId="BodyTextRight">
    <w:name w:val="Body Text Right"/>
    <w:basedOn w:val="BodyText"/>
    <w:rsid w:val="00C5078E"/>
    <w:pPr>
      <w:spacing w:before="0" w:after="0"/>
      <w:jc w:val="right"/>
    </w:pPr>
  </w:style>
  <w:style w:type="paragraph" w:styleId="Index3">
    <w:name w:val="index 3"/>
    <w:basedOn w:val="ListNumber2"/>
    <w:next w:val="Normal"/>
    <w:semiHidden/>
    <w:rsid w:val="00C5078E"/>
    <w:pPr>
      <w:numPr>
        <w:numId w:val="0"/>
      </w:numPr>
      <w:tabs>
        <w:tab w:val="right" w:leader="dot" w:pos="4176"/>
      </w:tabs>
    </w:pPr>
  </w:style>
  <w:style w:type="paragraph" w:styleId="ListNumber2">
    <w:name w:val="List Number 2"/>
    <w:basedOn w:val="List2"/>
    <w:rsid w:val="00C5078E"/>
    <w:pPr>
      <w:numPr>
        <w:numId w:val="10"/>
      </w:numPr>
      <w:tabs>
        <w:tab w:val="clear" w:pos="1060"/>
      </w:tabs>
    </w:pPr>
  </w:style>
  <w:style w:type="paragraph" w:customStyle="1" w:styleId="MarginNote">
    <w:name w:val="Margin Note"/>
    <w:basedOn w:val="BodyText"/>
    <w:rsid w:val="00C50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78E"/>
    <w:rPr>
      <w:sz w:val="32"/>
    </w:rPr>
  </w:style>
  <w:style w:type="paragraph" w:customStyle="1" w:styleId="HeadingProcedure">
    <w:name w:val="Heading Procedure"/>
    <w:basedOn w:val="HeadingBase"/>
    <w:next w:val="Normal"/>
    <w:rsid w:val="00C5078E"/>
    <w:pPr>
      <w:tabs>
        <w:tab w:val="left" w:pos="0"/>
      </w:tabs>
      <w:spacing w:before="120" w:after="60"/>
    </w:pPr>
    <w:rPr>
      <w:i/>
      <w:color w:val="918585"/>
      <w:sz w:val="22"/>
    </w:rPr>
  </w:style>
  <w:style w:type="paragraph" w:customStyle="1" w:styleId="TableBodyText">
    <w:name w:val="Table Body Text"/>
    <w:basedOn w:val="BodyText"/>
    <w:rsid w:val="00C5078E"/>
    <w:pPr>
      <w:spacing w:before="60" w:after="60"/>
    </w:pPr>
  </w:style>
  <w:style w:type="paragraph" w:styleId="ListContinue">
    <w:name w:val="List Continue"/>
    <w:basedOn w:val="List"/>
    <w:rsid w:val="00C5078E"/>
    <w:pPr>
      <w:ind w:firstLine="0"/>
    </w:pPr>
  </w:style>
  <w:style w:type="paragraph" w:customStyle="1" w:styleId="ListNote">
    <w:name w:val="List Note"/>
    <w:basedOn w:val="List"/>
    <w:rsid w:val="00C5078E"/>
    <w:pPr>
      <w:pBdr>
        <w:top w:val="single" w:sz="6" w:space="2" w:color="918585"/>
        <w:bottom w:val="single" w:sz="6" w:space="2" w:color="918585"/>
      </w:pBdr>
      <w:tabs>
        <w:tab w:val="left" w:pos="1021"/>
      </w:tabs>
      <w:ind w:firstLine="0"/>
    </w:pPr>
  </w:style>
  <w:style w:type="paragraph" w:customStyle="1" w:styleId="Warning">
    <w:name w:val="Warning"/>
    <w:basedOn w:val="BodyText"/>
    <w:rsid w:val="00C5078E"/>
    <w:pPr>
      <w:shd w:val="clear" w:color="auto" w:fill="D9D9D9"/>
      <w:tabs>
        <w:tab w:val="left" w:pos="992"/>
      </w:tabs>
      <w:ind w:left="119" w:right="119"/>
    </w:pPr>
    <w:rPr>
      <w:sz w:val="20"/>
    </w:rPr>
  </w:style>
  <w:style w:type="paragraph" w:customStyle="1" w:styleId="MarginIcons">
    <w:name w:val="Margin Icons"/>
    <w:basedOn w:val="BodyText"/>
    <w:rsid w:val="00C50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78E"/>
    <w:rPr>
      <w:rFonts w:ascii="Courier New" w:hAnsi="Courier New"/>
    </w:rPr>
  </w:style>
  <w:style w:type="paragraph" w:customStyle="1" w:styleId="NoteBullet">
    <w:name w:val="Note Bullet"/>
    <w:basedOn w:val="Note"/>
    <w:rsid w:val="00C5078E"/>
    <w:pPr>
      <w:tabs>
        <w:tab w:val="clear" w:pos="680"/>
      </w:tabs>
      <w:spacing w:before="60" w:after="60"/>
    </w:pPr>
  </w:style>
  <w:style w:type="paragraph" w:customStyle="1" w:styleId="SubHeading2">
    <w:name w:val="SubHeading2"/>
    <w:basedOn w:val="HeadingBase"/>
    <w:rsid w:val="00C5078E"/>
    <w:pPr>
      <w:spacing w:before="240" w:after="60"/>
    </w:pPr>
    <w:rPr>
      <w:sz w:val="20"/>
    </w:rPr>
  </w:style>
  <w:style w:type="paragraph" w:customStyle="1" w:styleId="SubHeading1">
    <w:name w:val="SubHeading1"/>
    <w:basedOn w:val="HeadingBase"/>
    <w:rsid w:val="00C5078E"/>
    <w:pPr>
      <w:spacing w:before="240" w:after="60"/>
    </w:pPr>
    <w:rPr>
      <w:color w:val="918585"/>
      <w:sz w:val="22"/>
    </w:rPr>
  </w:style>
  <w:style w:type="paragraph" w:customStyle="1" w:styleId="SideHeading">
    <w:name w:val="Side Heading"/>
    <w:basedOn w:val="HeadingBase"/>
    <w:rsid w:val="00C50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78E"/>
    <w:pPr>
      <w:tabs>
        <w:tab w:val="num" w:pos="360"/>
      </w:tabs>
    </w:pPr>
  </w:style>
  <w:style w:type="paragraph" w:styleId="PlainText">
    <w:name w:val="Plain Text"/>
    <w:basedOn w:val="Normal"/>
    <w:link w:val="PlainTextChar"/>
    <w:rsid w:val="00C5078E"/>
    <w:rPr>
      <w:sz w:val="20"/>
    </w:rPr>
  </w:style>
  <w:style w:type="character" w:customStyle="1" w:styleId="PlainTextChar">
    <w:name w:val="Plain Text Char"/>
    <w:basedOn w:val="DefaultParagraphFont"/>
    <w:link w:val="PlainText"/>
    <w:rsid w:val="00C5078E"/>
    <w:rPr>
      <w:rFonts w:ascii="Courier New" w:eastAsia="Times New Roman" w:hAnsi="Courier New" w:cs="Times New Roman"/>
      <w:sz w:val="20"/>
      <w:szCs w:val="20"/>
      <w:lang w:eastAsia="en-US"/>
    </w:rPr>
  </w:style>
  <w:style w:type="character" w:customStyle="1" w:styleId="MenuOption">
    <w:name w:val="Menu Option"/>
    <w:basedOn w:val="DefaultParagraphFont"/>
    <w:rsid w:val="00C5078E"/>
    <w:rPr>
      <w:b/>
      <w:smallCaps/>
    </w:rPr>
  </w:style>
  <w:style w:type="paragraph" w:customStyle="1" w:styleId="TableListNumber">
    <w:name w:val="Table List Number"/>
    <w:basedOn w:val="ListNumber"/>
    <w:rsid w:val="00C5078E"/>
    <w:pPr>
      <w:numPr>
        <w:numId w:val="0"/>
      </w:numPr>
    </w:pPr>
  </w:style>
  <w:style w:type="paragraph" w:styleId="TOC4">
    <w:name w:val="toc 4"/>
    <w:basedOn w:val="TOCBase"/>
    <w:next w:val="Normal"/>
    <w:semiHidden/>
    <w:rsid w:val="00C5078E"/>
    <w:pPr>
      <w:tabs>
        <w:tab w:val="right" w:leader="dot" w:pos="9071"/>
      </w:tabs>
      <w:ind w:left="1701"/>
    </w:pPr>
  </w:style>
  <w:style w:type="paragraph" w:customStyle="1" w:styleId="ListAlpha">
    <w:name w:val="List Alpha"/>
    <w:basedOn w:val="List"/>
    <w:rsid w:val="00C5078E"/>
    <w:pPr>
      <w:numPr>
        <w:numId w:val="9"/>
      </w:numPr>
    </w:pPr>
  </w:style>
  <w:style w:type="paragraph" w:customStyle="1" w:styleId="ListAlpha2">
    <w:name w:val="List Alpha 2"/>
    <w:basedOn w:val="List2"/>
    <w:rsid w:val="00C5078E"/>
    <w:pPr>
      <w:numPr>
        <w:numId w:val="8"/>
      </w:numPr>
    </w:pPr>
  </w:style>
  <w:style w:type="paragraph" w:styleId="List2">
    <w:name w:val="List 2"/>
    <w:basedOn w:val="BodyText"/>
    <w:rsid w:val="00C5078E"/>
    <w:pPr>
      <w:tabs>
        <w:tab w:val="left" w:pos="680"/>
      </w:tabs>
      <w:spacing w:before="60" w:after="60"/>
      <w:ind w:left="680" w:hanging="340"/>
    </w:pPr>
  </w:style>
  <w:style w:type="paragraph" w:styleId="List3">
    <w:name w:val="List 3"/>
    <w:basedOn w:val="BodyText"/>
    <w:rsid w:val="00C5078E"/>
    <w:pPr>
      <w:tabs>
        <w:tab w:val="left" w:pos="1021"/>
      </w:tabs>
      <w:spacing w:before="60" w:after="60"/>
      <w:ind w:left="1020" w:hanging="340"/>
    </w:pPr>
  </w:style>
  <w:style w:type="paragraph" w:styleId="List4">
    <w:name w:val="List 4"/>
    <w:basedOn w:val="BodyText"/>
    <w:rsid w:val="00C5078E"/>
    <w:pPr>
      <w:tabs>
        <w:tab w:val="left" w:pos="1361"/>
      </w:tabs>
      <w:spacing w:before="60" w:after="60"/>
      <w:ind w:left="1361" w:hanging="340"/>
    </w:pPr>
  </w:style>
  <w:style w:type="paragraph" w:styleId="List5">
    <w:name w:val="List 5"/>
    <w:basedOn w:val="BodyText"/>
    <w:rsid w:val="00C5078E"/>
    <w:pPr>
      <w:tabs>
        <w:tab w:val="left" w:pos="1701"/>
      </w:tabs>
      <w:spacing w:before="60" w:after="60"/>
      <w:ind w:left="1701" w:hanging="340"/>
    </w:pPr>
  </w:style>
  <w:style w:type="paragraph" w:styleId="ListBullet3">
    <w:name w:val="List Bullet 3"/>
    <w:basedOn w:val="List3"/>
    <w:rsid w:val="00C5078E"/>
    <w:pPr>
      <w:numPr>
        <w:numId w:val="14"/>
      </w:numPr>
      <w:tabs>
        <w:tab w:val="clear" w:pos="1021"/>
      </w:tabs>
      <w:ind w:left="1037" w:hanging="357"/>
    </w:pPr>
  </w:style>
  <w:style w:type="paragraph" w:styleId="ListBullet4">
    <w:name w:val="List Bullet 4"/>
    <w:basedOn w:val="List4"/>
    <w:rsid w:val="00C5078E"/>
    <w:pPr>
      <w:numPr>
        <w:numId w:val="3"/>
      </w:numPr>
      <w:tabs>
        <w:tab w:val="clear" w:pos="1361"/>
      </w:tabs>
    </w:pPr>
  </w:style>
  <w:style w:type="paragraph" w:styleId="ListBullet5">
    <w:name w:val="List Bullet 5"/>
    <w:basedOn w:val="List5"/>
    <w:rsid w:val="00C5078E"/>
    <w:pPr>
      <w:numPr>
        <w:numId w:val="4"/>
      </w:numPr>
    </w:pPr>
  </w:style>
  <w:style w:type="paragraph" w:styleId="ListContinue2">
    <w:name w:val="List Continue 2"/>
    <w:basedOn w:val="List2"/>
    <w:rsid w:val="00C5078E"/>
    <w:pPr>
      <w:ind w:firstLine="0"/>
    </w:pPr>
  </w:style>
  <w:style w:type="paragraph" w:styleId="ListContinue3">
    <w:name w:val="List Continue 3"/>
    <w:basedOn w:val="List3"/>
    <w:rsid w:val="00C5078E"/>
    <w:pPr>
      <w:ind w:left="1021" w:firstLine="0"/>
    </w:pPr>
  </w:style>
  <w:style w:type="paragraph" w:styleId="ListContinue4">
    <w:name w:val="List Continue 4"/>
    <w:basedOn w:val="List4"/>
    <w:rsid w:val="00C5078E"/>
    <w:pPr>
      <w:ind w:firstLine="0"/>
    </w:pPr>
  </w:style>
  <w:style w:type="paragraph" w:styleId="ListContinue5">
    <w:name w:val="List Continue 5"/>
    <w:basedOn w:val="List5"/>
    <w:rsid w:val="00C5078E"/>
    <w:pPr>
      <w:ind w:firstLine="0"/>
    </w:pPr>
  </w:style>
  <w:style w:type="paragraph" w:styleId="ListNumber3">
    <w:name w:val="List Number 3"/>
    <w:basedOn w:val="List3"/>
    <w:rsid w:val="00C5078E"/>
    <w:pPr>
      <w:numPr>
        <w:numId w:val="5"/>
      </w:numPr>
    </w:pPr>
  </w:style>
  <w:style w:type="paragraph" w:styleId="ListNumber4">
    <w:name w:val="List Number 4"/>
    <w:basedOn w:val="List4"/>
    <w:rsid w:val="00C5078E"/>
    <w:pPr>
      <w:numPr>
        <w:numId w:val="6"/>
      </w:numPr>
    </w:pPr>
  </w:style>
  <w:style w:type="paragraph" w:styleId="ListNumber5">
    <w:name w:val="List Number 5"/>
    <w:basedOn w:val="List5"/>
    <w:rsid w:val="00C5078E"/>
    <w:pPr>
      <w:numPr>
        <w:numId w:val="7"/>
      </w:numPr>
    </w:pPr>
  </w:style>
  <w:style w:type="paragraph" w:styleId="BlockText">
    <w:name w:val="Block Text"/>
    <w:basedOn w:val="Normal"/>
    <w:rsid w:val="00C5078E"/>
    <w:pPr>
      <w:spacing w:after="120"/>
      <w:ind w:left="1440" w:right="1440"/>
    </w:pPr>
  </w:style>
  <w:style w:type="character" w:customStyle="1" w:styleId="Subscript">
    <w:name w:val="Subscript"/>
    <w:basedOn w:val="DefaultParagraphFont"/>
    <w:rsid w:val="00C5078E"/>
    <w:rPr>
      <w:sz w:val="16"/>
      <w:vertAlign w:val="subscript"/>
    </w:rPr>
  </w:style>
  <w:style w:type="character" w:customStyle="1" w:styleId="Superscript">
    <w:name w:val="Superscript"/>
    <w:basedOn w:val="DefaultParagraphFont"/>
    <w:rsid w:val="00C5078E"/>
    <w:rPr>
      <w:sz w:val="16"/>
      <w:vertAlign w:val="superscript"/>
    </w:rPr>
  </w:style>
  <w:style w:type="character" w:customStyle="1" w:styleId="Symbols">
    <w:name w:val="Symbols"/>
    <w:basedOn w:val="DefaultParagraphFont"/>
    <w:rsid w:val="00C5078E"/>
    <w:rPr>
      <w:rFonts w:ascii="Symbol" w:hAnsi="Symbol"/>
    </w:rPr>
  </w:style>
  <w:style w:type="character" w:customStyle="1" w:styleId="MenuOptions">
    <w:name w:val="Menu Options"/>
    <w:basedOn w:val="DefaultParagraphFont"/>
    <w:rsid w:val="00C5078E"/>
    <w:rPr>
      <w:rFonts w:ascii="Arial Narrow" w:hAnsi="Arial Narrow"/>
      <w:smallCaps/>
    </w:rPr>
  </w:style>
  <w:style w:type="character" w:customStyle="1" w:styleId="Buttons">
    <w:name w:val="Buttons"/>
    <w:basedOn w:val="DefaultParagraphFont"/>
    <w:rsid w:val="00C5078E"/>
    <w:rPr>
      <w:b/>
    </w:rPr>
  </w:style>
  <w:style w:type="character" w:customStyle="1" w:styleId="Underlined">
    <w:name w:val="Underlined"/>
    <w:basedOn w:val="DefaultParagraphFont"/>
    <w:rsid w:val="00C5078E"/>
    <w:rPr>
      <w:u w:val="single"/>
    </w:rPr>
  </w:style>
  <w:style w:type="paragraph" w:customStyle="1" w:styleId="TableBodyTextRight">
    <w:name w:val="Table Body Text Right"/>
    <w:basedOn w:val="TableBodyText"/>
    <w:rsid w:val="00C5078E"/>
    <w:pPr>
      <w:widowControl w:val="0"/>
      <w:autoSpaceDE w:val="0"/>
      <w:autoSpaceDN w:val="0"/>
      <w:adjustRightInd w:val="0"/>
      <w:jc w:val="right"/>
    </w:pPr>
    <w:rPr>
      <w:rFonts w:cs="Arial"/>
      <w:szCs w:val="18"/>
    </w:rPr>
  </w:style>
  <w:style w:type="paragraph" w:customStyle="1" w:styleId="CopyrightText">
    <w:name w:val="Copyright Text"/>
    <w:basedOn w:val="BodyText"/>
    <w:rsid w:val="00C5078E"/>
    <w:rPr>
      <w:sz w:val="18"/>
    </w:rPr>
  </w:style>
  <w:style w:type="paragraph" w:customStyle="1" w:styleId="BodySmallRight">
    <w:name w:val="Body Small Right"/>
    <w:basedOn w:val="BodyTextRight"/>
    <w:rsid w:val="00C5078E"/>
    <w:rPr>
      <w:sz w:val="18"/>
      <w:szCs w:val="18"/>
    </w:rPr>
  </w:style>
  <w:style w:type="paragraph" w:customStyle="1" w:styleId="MarginEdition">
    <w:name w:val="Margin Edition"/>
    <w:basedOn w:val="MarginNote"/>
    <w:rsid w:val="00C5078E"/>
    <w:pPr>
      <w:spacing w:before="0" w:after="0"/>
    </w:pPr>
    <w:rPr>
      <w:rFonts w:ascii="Times New Roman" w:hAnsi="Times New Roman"/>
      <w:color w:val="999999"/>
    </w:rPr>
  </w:style>
  <w:style w:type="paragraph" w:customStyle="1" w:styleId="Spacer">
    <w:name w:val="Spacer"/>
    <w:basedOn w:val="Normal"/>
    <w:rsid w:val="00C5078E"/>
    <w:rPr>
      <w:sz w:val="2"/>
      <w:szCs w:val="2"/>
    </w:rPr>
  </w:style>
  <w:style w:type="character" w:customStyle="1" w:styleId="Small">
    <w:name w:val="Small"/>
    <w:basedOn w:val="DefaultParagraphFont"/>
    <w:rsid w:val="00C5078E"/>
    <w:rPr>
      <w:sz w:val="16"/>
    </w:rPr>
  </w:style>
  <w:style w:type="paragraph" w:customStyle="1" w:styleId="WideTable">
    <w:name w:val="Wide Table"/>
    <w:basedOn w:val="Normal"/>
    <w:rsid w:val="00C5078E"/>
    <w:pPr>
      <w:ind w:left="-1418"/>
    </w:pPr>
    <w:rPr>
      <w:sz w:val="2"/>
      <w:szCs w:val="2"/>
    </w:rPr>
  </w:style>
  <w:style w:type="character" w:styleId="PageNumber">
    <w:name w:val="page number"/>
    <w:basedOn w:val="DefaultParagraphFont"/>
    <w:rsid w:val="00C5078E"/>
  </w:style>
  <w:style w:type="paragraph" w:styleId="Quote">
    <w:name w:val="Quote"/>
    <w:basedOn w:val="Heading1"/>
    <w:link w:val="QuoteChar"/>
    <w:qFormat/>
    <w:rsid w:val="00C5078E"/>
    <w:rPr>
      <w:b w:val="0"/>
      <w:sz w:val="72"/>
      <w:szCs w:val="72"/>
      <w:lang w:val="en-NZ"/>
    </w:rPr>
  </w:style>
  <w:style w:type="character" w:customStyle="1" w:styleId="QuoteChar">
    <w:name w:val="Quote Char"/>
    <w:basedOn w:val="DefaultParagraphFont"/>
    <w:link w:val="Quote"/>
    <w:rsid w:val="00C50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78E"/>
    <w:pPr>
      <w:pageBreakBefore/>
    </w:pPr>
  </w:style>
  <w:style w:type="paragraph" w:customStyle="1" w:styleId="Border">
    <w:name w:val="Border"/>
    <w:basedOn w:val="Normal"/>
    <w:qFormat/>
    <w:rsid w:val="00C50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78E"/>
    <w:rPr>
      <w:b/>
      <w:bCs/>
      <w:i/>
      <w:iCs/>
      <w:color w:val="auto"/>
    </w:rPr>
  </w:style>
  <w:style w:type="paragraph" w:styleId="IntenseQuote">
    <w:name w:val="Intense Quote"/>
    <w:basedOn w:val="Normal"/>
    <w:next w:val="Normal"/>
    <w:link w:val="IntenseQuoteChar"/>
    <w:uiPriority w:val="30"/>
    <w:qFormat/>
    <w:rsid w:val="00C50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78E"/>
    <w:rPr>
      <w:smallCaps/>
      <w:color w:val="auto"/>
      <w:u w:val="single"/>
    </w:rPr>
  </w:style>
  <w:style w:type="character" w:styleId="IntenseReference">
    <w:name w:val="Intense Reference"/>
    <w:basedOn w:val="DefaultParagraphFont"/>
    <w:uiPriority w:val="32"/>
    <w:qFormat/>
    <w:rsid w:val="00C5078E"/>
    <w:rPr>
      <w:b/>
      <w:bCs/>
      <w:smallCaps/>
      <w:color w:val="auto"/>
      <w:spacing w:val="5"/>
      <w:u w:val="single"/>
    </w:rPr>
  </w:style>
  <w:style w:type="paragraph" w:customStyle="1" w:styleId="2ColumnHeading">
    <w:name w:val="2Column Heading"/>
    <w:basedOn w:val="BodyText"/>
    <w:qFormat/>
    <w:rsid w:val="00C5078E"/>
    <w:pPr>
      <w:spacing w:after="60"/>
      <w:ind w:left="-2268"/>
    </w:pPr>
    <w:rPr>
      <w:b/>
    </w:rPr>
  </w:style>
  <w:style w:type="paragraph" w:customStyle="1" w:styleId="Heading1TOC">
    <w:name w:val="Heading1 TOC"/>
    <w:basedOn w:val="Normal"/>
    <w:qFormat/>
    <w:rsid w:val="00C5078E"/>
    <w:pPr>
      <w:spacing w:before="240" w:after="120"/>
    </w:pPr>
    <w:rPr>
      <w:rFonts w:ascii="Times New Roman" w:hAnsi="Times New Roman"/>
      <w:b/>
      <w:sz w:val="32"/>
    </w:rPr>
  </w:style>
  <w:style w:type="paragraph" w:customStyle="1" w:styleId="Heading2TOC">
    <w:name w:val="Heading2 TOC"/>
    <w:basedOn w:val="Normal"/>
    <w:qFormat/>
    <w:rsid w:val="00C5078E"/>
    <w:pPr>
      <w:spacing w:before="240" w:after="60"/>
    </w:pPr>
    <w:rPr>
      <w:rFonts w:ascii="Times New Roman" w:hAnsi="Times New Roman"/>
      <w:b/>
      <w:sz w:val="28"/>
    </w:rPr>
  </w:style>
  <w:style w:type="character" w:customStyle="1" w:styleId="Underline">
    <w:name w:val="Underline"/>
    <w:basedOn w:val="DefaultParagraphFont"/>
    <w:qFormat/>
    <w:rsid w:val="00C5078E"/>
    <w:rPr>
      <w:u w:val="single"/>
    </w:rPr>
  </w:style>
  <w:style w:type="character" w:customStyle="1" w:styleId="BoldandItalics">
    <w:name w:val="Bold and Italics"/>
    <w:qFormat/>
    <w:rsid w:val="00C5078E"/>
    <w:rPr>
      <w:b/>
      <w:i/>
      <w:u w:val="none"/>
    </w:rPr>
  </w:style>
  <w:style w:type="paragraph" w:styleId="BalloonText">
    <w:name w:val="Balloon Text"/>
    <w:basedOn w:val="Normal"/>
    <w:link w:val="BalloonTextChar"/>
    <w:rsid w:val="00C5078E"/>
    <w:rPr>
      <w:rFonts w:ascii="Tahoma" w:hAnsi="Tahoma" w:cs="Tahoma"/>
      <w:sz w:val="16"/>
      <w:szCs w:val="16"/>
    </w:rPr>
  </w:style>
  <w:style w:type="character" w:customStyle="1" w:styleId="BalloonTextChar">
    <w:name w:val="Balloon Text Char"/>
    <w:basedOn w:val="DefaultParagraphFont"/>
    <w:link w:val="BalloonText"/>
    <w:rsid w:val="00C50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78E"/>
    <w:rPr>
      <w:b/>
      <w:color w:val="660033"/>
      <w:spacing w:val="0"/>
    </w:rPr>
  </w:style>
  <w:style w:type="paragraph" w:customStyle="1" w:styleId="Nameditemlist">
    <w:name w:val="Named item list"/>
    <w:basedOn w:val="BodyText"/>
    <w:qFormat/>
    <w:rsid w:val="00C5078E"/>
    <w:pPr>
      <w:tabs>
        <w:tab w:val="left" w:pos="2835"/>
      </w:tabs>
      <w:ind w:left="2835" w:hanging="2835"/>
    </w:pPr>
  </w:style>
  <w:style w:type="paragraph" w:customStyle="1" w:styleId="BodyTextnopadding">
    <w:name w:val="Body Text no padding"/>
    <w:basedOn w:val="BodyText"/>
    <w:qFormat/>
    <w:rsid w:val="00C5078E"/>
    <w:pPr>
      <w:spacing w:before="0" w:after="0"/>
    </w:pPr>
  </w:style>
  <w:style w:type="paragraph" w:customStyle="1" w:styleId="BodyTextBold">
    <w:name w:val="Body Text Bold"/>
    <w:basedOn w:val="BodyText"/>
    <w:qFormat/>
    <w:rsid w:val="00C5078E"/>
    <w:rPr>
      <w:b/>
    </w:rPr>
  </w:style>
  <w:style w:type="character" w:styleId="Hyperlink">
    <w:name w:val="Hyperlink"/>
    <w:basedOn w:val="DefaultParagraphFont"/>
    <w:uiPriority w:val="99"/>
    <w:unhideWhenUsed/>
    <w:rsid w:val="007504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6957</Characters>
  <Application>Microsoft Office Word</Application>
  <DocSecurity>0</DocSecurity>
  <Lines>239</Lines>
  <Paragraphs>124</Paragraphs>
  <ScaleCrop>false</ScaleCrop>
  <Company>Author-it Software Corporation Ltd.</Company>
  <LinksUpToDate>false</LinksUpToDate>
  <CharactersWithSpaces>7942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CPPFES2003 Safely move loads and dangerous goods</dc:title>
  <dc:subject>Approved</dc:subject>
  <dc:creator>BuildSkills Australia</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