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A20" w:rsidP="00775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CPPDSM6008 Develop and implement strategic facilities management plans</w:t>
      </w:r>
      <w:r>
        <w:fldChar w:fldCharType="end"/>
      </w:r>
    </w:p>
    <w:p w:rsidR="00775A20" w:rsidP="00775A20">
      <w:pPr>
        <w:pStyle w:val="Version"/>
        <w:sectPr w:rsidSect="00964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C87" w:rsidP="00964C87">
      <w:pPr>
        <w:pStyle w:val="SuperHeading"/>
      </w:pPr>
      <w:r w:rsidRPr="00964C87">
        <w:t>Assessment Requirements for CPPDSM6008 Develop and implement strategic facilities management plans</w:t>
      </w:r>
    </w:p>
    <w:p w:rsidR="00000000" w:rsidRPr="00964C87" w:rsidP="00964C87">
      <w:pPr>
        <w:pStyle w:val="Heading1"/>
      </w:pPr>
      <w:bookmarkStart w:id="1" w:name="O_1196886"/>
      <w:bookmarkEnd w:id="1"/>
      <w:r w:rsidRPr="00964C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64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C87">
            <w:pPr>
              <w:pStyle w:val="BodyText"/>
              <w:rPr>
                <w:lang w:val="en-NZ"/>
              </w:rPr>
            </w:pPr>
            <w:r w:rsidRPr="00964C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C87" w:rsidP="00964C87">
            <w:pPr>
              <w:pStyle w:val="BodyText"/>
            </w:pPr>
            <w:r w:rsidRPr="00964C87">
              <w:t>This version first released with CPP Property Services Training Package Release 15.0.</w:t>
            </w:r>
          </w:p>
          <w:p w:rsidR="00000000" w:rsidRPr="00964C87" w:rsidP="00964C87">
            <w:pPr>
              <w:pStyle w:val="BodyText"/>
            </w:pPr>
            <w:r w:rsidRPr="00964C87">
              <w:t xml:space="preserve">Supersedes and is equivalent to CPPDSM6008A Develop strategic facilities management plan. Change to unit title to clarify outcome.  Unit updated to meet the Standards for Training Packages 2012. </w:t>
            </w:r>
          </w:p>
        </w:tc>
      </w:tr>
    </w:tbl>
    <w:p w:rsidR="00000000" w:rsidRPr="00964C87" w:rsidP="00964C87">
      <w:pPr>
        <w:pStyle w:val="BodyText"/>
      </w:pPr>
    </w:p>
    <w:p w:rsidR="00000000" w:rsidRPr="00964C87" w:rsidP="00964C87">
      <w:pPr>
        <w:pStyle w:val="AllowPageBreak"/>
      </w:pPr>
    </w:p>
    <w:p w:rsidR="00000000" w:rsidRPr="00964C87" w:rsidP="00964C87">
      <w:pPr>
        <w:pStyle w:val="Heading1"/>
      </w:pPr>
      <w:bookmarkStart w:id="2" w:name="O_1196889"/>
      <w:bookmarkEnd w:id="2"/>
      <w:r w:rsidRPr="00964C87">
        <w:t>Performance Evidence</w:t>
      </w:r>
    </w:p>
    <w:p w:rsidR="00000000" w:rsidRPr="00964C87" w:rsidP="00775A20">
      <w:pPr>
        <w:pStyle w:val="BodyText"/>
      </w:pPr>
      <w:r w:rsidRPr="00964C87">
        <w:t>To demonstrate com</w:t>
      </w:r>
      <w:r w:rsidRPr="00964C87">
        <w:t>petency, a candidate must meet the elements and performance criteria of this unit by developing and implementing one comprehensive written strategic facilities management plan.</w:t>
      </w:r>
    </w:p>
    <w:p w:rsidR="00000000" w:rsidRPr="00964C87" w:rsidP="00964C87">
      <w:pPr>
        <w:pStyle w:val="Heading1"/>
      </w:pPr>
      <w:bookmarkStart w:id="3" w:name="O_1196888"/>
      <w:bookmarkEnd w:id="3"/>
      <w:r w:rsidRPr="00964C87">
        <w:t>Knowledge Evidence</w:t>
      </w:r>
    </w:p>
    <w:p w:rsidR="00000000" w:rsidRPr="00964C87" w:rsidP="00775A20">
      <w:pPr>
        <w:pStyle w:val="BodyText"/>
      </w:pPr>
      <w:r w:rsidRPr="00964C87">
        <w:t>To be competent in this unit, a candidate</w:t>
      </w:r>
      <w:r w:rsidRPr="00964C87">
        <w:t xml:space="preserve"> must demonstrate knowledge of:</w:t>
      </w:r>
    </w:p>
    <w:p w:rsidR="00000000" w:rsidRPr="00964C87" w:rsidP="00964C87">
      <w:pPr>
        <w:pStyle w:val="ListBullet"/>
      </w:pPr>
      <w:r w:rsidRPr="00964C87">
        <w:t>building services and operation methods and practices relevant to facilities management</w:t>
      </w:r>
    </w:p>
    <w:p w:rsidR="00000000" w:rsidRPr="00964C87" w:rsidP="00964C87">
      <w:pPr>
        <w:pStyle w:val="ListBullet"/>
      </w:pPr>
      <w:r w:rsidRPr="00964C87">
        <w:t>compliance requirements of legislation, regulations, codes and standards relevant to developing and implementing strategic facilities management plans:</w:t>
      </w:r>
    </w:p>
    <w:p w:rsidR="00000000" w:rsidRPr="00964C87" w:rsidP="00964C87">
      <w:pPr>
        <w:pStyle w:val="ListBullet2"/>
      </w:pPr>
      <w:r w:rsidRPr="00964C87">
        <w:t>anti-discrimination</w:t>
      </w:r>
    </w:p>
    <w:p w:rsidR="00000000" w:rsidRPr="00964C87" w:rsidP="00964C87">
      <w:pPr>
        <w:pStyle w:val="ListBullet2"/>
      </w:pPr>
      <w:r w:rsidRPr="00964C87">
        <w:t>building control legislation</w:t>
      </w:r>
    </w:p>
    <w:p w:rsidR="00000000" w:rsidRPr="00964C87" w:rsidP="00964C87">
      <w:pPr>
        <w:pStyle w:val="ListBullet2"/>
      </w:pPr>
      <w:r w:rsidRPr="00964C87">
        <w:t>consumer protection</w:t>
      </w:r>
    </w:p>
    <w:p w:rsidR="00000000" w:rsidRPr="00964C87" w:rsidP="00964C87">
      <w:pPr>
        <w:pStyle w:val="ListBullet2"/>
      </w:pPr>
      <w:r w:rsidRPr="00964C87">
        <w:t>environmental protection</w:t>
      </w:r>
    </w:p>
    <w:p w:rsidR="00000000" w:rsidRPr="00964C87" w:rsidP="00964C87">
      <w:pPr>
        <w:pStyle w:val="ListBullet2"/>
      </w:pPr>
      <w:r w:rsidRPr="00964C87">
        <w:t>financial</w:t>
      </w:r>
      <w:r w:rsidRPr="00964C87">
        <w:t xml:space="preserve"> probity</w:t>
      </w:r>
    </w:p>
    <w:p w:rsidR="00000000" w:rsidRPr="00964C87" w:rsidP="00964C87">
      <w:pPr>
        <w:pStyle w:val="ListBullet2"/>
      </w:pPr>
      <w:r w:rsidRPr="00964C87">
        <w:t>franchise and business structures</w:t>
      </w:r>
    </w:p>
    <w:p w:rsidR="00000000" w:rsidRPr="00964C87" w:rsidP="00964C87">
      <w:pPr>
        <w:pStyle w:val="ListBullet2"/>
      </w:pPr>
      <w:r w:rsidRPr="00964C87">
        <w:t>National Construction Code (NCC) and relevant Australian Standards</w:t>
      </w:r>
    </w:p>
    <w:p w:rsidR="00000000" w:rsidRPr="00964C87" w:rsidP="00964C87">
      <w:pPr>
        <w:pStyle w:val="ListBullet2"/>
      </w:pPr>
      <w:r w:rsidRPr="00964C87">
        <w:t>privacy</w:t>
      </w:r>
    </w:p>
    <w:p w:rsidR="00000000" w:rsidRPr="00964C87" w:rsidP="00964C87">
      <w:pPr>
        <w:pStyle w:val="ListBullet2"/>
      </w:pPr>
      <w:r w:rsidRPr="00964C87">
        <w:t>property sales, leasing and management</w:t>
      </w:r>
    </w:p>
    <w:p w:rsidR="00000000" w:rsidRPr="00964C87" w:rsidP="00964C87">
      <w:pPr>
        <w:pStyle w:val="ListBullet2"/>
      </w:pPr>
      <w:r w:rsidRPr="00964C87">
        <w:t>work health and safety (WHS)</w:t>
      </w:r>
    </w:p>
    <w:p w:rsidR="00000000" w:rsidRPr="00964C87" w:rsidP="00964C87">
      <w:pPr>
        <w:pStyle w:val="ListBullet"/>
      </w:pPr>
      <w:r w:rsidRPr="00964C87">
        <w:t>financial analysis and forecasting principles</w:t>
      </w:r>
    </w:p>
    <w:p w:rsidR="00000000" w:rsidRPr="00964C87" w:rsidP="00964C87">
      <w:pPr>
        <w:pStyle w:val="ListBullet"/>
      </w:pPr>
      <w:r w:rsidRPr="00964C87">
        <w:t>impact analysis and inv</w:t>
      </w:r>
      <w:r w:rsidRPr="00964C87">
        <w:t>estment scenario planning</w:t>
      </w:r>
    </w:p>
    <w:p w:rsidR="00000000" w:rsidRPr="00964C87" w:rsidP="00964C87">
      <w:pPr>
        <w:pStyle w:val="ListBullet"/>
      </w:pPr>
      <w:r w:rsidRPr="00964C87">
        <w:t>industry performance benchmarks, including use and application of value analysis and benchmarking techniques</w:t>
      </w:r>
    </w:p>
    <w:p w:rsidR="00000000" w:rsidRPr="00964C87" w:rsidP="00964C87">
      <w:pPr>
        <w:pStyle w:val="ListBullet"/>
      </w:pPr>
      <w:r w:rsidRPr="00964C87">
        <w:t>long-range and annual facility planning techniques and practices</w:t>
      </w:r>
    </w:p>
    <w:p w:rsidR="00000000" w:rsidRPr="00964C87" w:rsidP="00964C87">
      <w:pPr>
        <w:pStyle w:val="ListBullet"/>
      </w:pPr>
      <w:r w:rsidRPr="00964C87">
        <w:t>methods for conducting life cycle analysis in facilities management:</w:t>
      </w:r>
    </w:p>
    <w:p w:rsidR="00000000" w:rsidRPr="00964C87" w:rsidP="00964C87">
      <w:pPr>
        <w:pStyle w:val="ListBullet2"/>
      </w:pPr>
      <w:r w:rsidRPr="00964C87">
        <w:t>computer modelling</w:t>
      </w:r>
    </w:p>
    <w:p w:rsidR="00000000" w:rsidRPr="00964C87" w:rsidP="00964C87">
      <w:pPr>
        <w:pStyle w:val="ListBullet2"/>
      </w:pPr>
      <w:r w:rsidRPr="00964C87">
        <w:t>examination of cash flows and other financial projections</w:t>
      </w:r>
    </w:p>
    <w:p w:rsidR="00000000" w:rsidRPr="00964C87" w:rsidP="00964C87">
      <w:pPr>
        <w:pStyle w:val="ListBullet2"/>
      </w:pPr>
      <w:r w:rsidRPr="00964C87">
        <w:t>quantitative and qualitative analysis</w:t>
      </w:r>
    </w:p>
    <w:p w:rsidR="00000000" w:rsidRPr="00964C87" w:rsidP="00964C87">
      <w:pPr>
        <w:pStyle w:val="ListBullet2"/>
      </w:pPr>
      <w:r w:rsidRPr="00964C87">
        <w:t>probability analysis</w:t>
      </w:r>
    </w:p>
    <w:p w:rsidR="00000000" w:rsidRPr="00964C87" w:rsidP="00964C87">
      <w:pPr>
        <w:pStyle w:val="ListBullet2"/>
      </w:pPr>
      <w:r w:rsidRPr="00964C87">
        <w:t>time series recognition</w:t>
      </w:r>
    </w:p>
    <w:p w:rsidR="00000000" w:rsidRPr="00964C87" w:rsidP="00964C87">
      <w:pPr>
        <w:pStyle w:val="ListBullet"/>
      </w:pPr>
      <w:r w:rsidRPr="00964C87">
        <w:t xml:space="preserve">principles and practices </w:t>
      </w:r>
      <w:r w:rsidRPr="00964C87">
        <w:t>of performance measurement, including review and evaluation procedures, processes and techniques</w:t>
      </w:r>
    </w:p>
    <w:p w:rsidR="00000000" w:rsidRPr="00964C87" w:rsidP="00964C87">
      <w:pPr>
        <w:pStyle w:val="ListBullet"/>
      </w:pPr>
      <w:r w:rsidRPr="00964C87">
        <w:t>principles and processes of objective setting</w:t>
      </w:r>
    </w:p>
    <w:p w:rsidR="00000000" w:rsidRPr="00964C87" w:rsidP="00964C87">
      <w:pPr>
        <w:pStyle w:val="ListBullet"/>
      </w:pPr>
      <w:r w:rsidRPr="00964C87">
        <w:t>types of assets associated with facilities management:</w:t>
      </w:r>
    </w:p>
    <w:p w:rsidR="00000000" w:rsidRPr="00964C87" w:rsidP="00964C87">
      <w:pPr>
        <w:pStyle w:val="ListBullet2"/>
      </w:pPr>
      <w:r w:rsidRPr="00964C87">
        <w:t>buildings</w:t>
      </w:r>
    </w:p>
    <w:p w:rsidR="00000000" w:rsidRPr="00964C87" w:rsidP="00964C87">
      <w:pPr>
        <w:pStyle w:val="ListBullet2"/>
      </w:pPr>
      <w:r w:rsidRPr="00964C87">
        <w:t>business and marketing contracts</w:t>
      </w:r>
    </w:p>
    <w:p w:rsidR="00000000" w:rsidRPr="00964C87" w:rsidP="00964C87">
      <w:pPr>
        <w:pStyle w:val="ListBullet2"/>
      </w:pPr>
      <w:r w:rsidRPr="00964C87">
        <w:t>equipment</w:t>
      </w:r>
    </w:p>
    <w:p w:rsidR="00000000" w:rsidRPr="00964C87" w:rsidP="00964C87">
      <w:pPr>
        <w:pStyle w:val="ListBullet2"/>
      </w:pPr>
      <w:r w:rsidRPr="00964C87">
        <w:t>furniture</w:t>
      </w:r>
    </w:p>
    <w:p w:rsidR="00000000" w:rsidRPr="00964C87" w:rsidP="00964C87">
      <w:pPr>
        <w:pStyle w:val="ListBullet2"/>
      </w:pPr>
      <w:r w:rsidRPr="00964C87">
        <w:t>goodwill</w:t>
      </w:r>
    </w:p>
    <w:p w:rsidR="00000000" w:rsidRPr="00964C87" w:rsidP="00964C87">
      <w:pPr>
        <w:pStyle w:val="ListBullet2"/>
      </w:pPr>
      <w:r w:rsidRPr="00964C87">
        <w:t>land</w:t>
      </w:r>
    </w:p>
    <w:p w:rsidR="00000000" w:rsidRPr="00964C87" w:rsidP="00964C87">
      <w:pPr>
        <w:pStyle w:val="ListBullet2"/>
      </w:pPr>
      <w:r w:rsidRPr="00964C87">
        <w:t>property</w:t>
      </w:r>
    </w:p>
    <w:p w:rsidR="00000000" w:rsidRPr="00964C87" w:rsidP="00964C87">
      <w:pPr>
        <w:pStyle w:val="ListBullet2"/>
      </w:pPr>
      <w:r w:rsidRPr="00964C87">
        <w:t>vehicles</w:t>
      </w:r>
    </w:p>
    <w:p w:rsidR="00000000" w:rsidRPr="00964C87" w:rsidP="00964C87">
      <w:pPr>
        <w:pStyle w:val="ListBullet"/>
      </w:pPr>
      <w:r w:rsidRPr="00964C87">
        <w:t>workplace requirements for developing and implementing strategic facilities management plans:</w:t>
      </w:r>
    </w:p>
    <w:p w:rsidR="00000000" w:rsidRPr="00964C87" w:rsidP="00964C87">
      <w:pPr>
        <w:pStyle w:val="ListBullet2"/>
      </w:pPr>
      <w:r w:rsidRPr="00964C87">
        <w:t>client service</w:t>
      </w:r>
    </w:p>
    <w:p w:rsidR="00000000" w:rsidRPr="00964C87" w:rsidP="00964C87">
      <w:pPr>
        <w:pStyle w:val="ListBullet2"/>
      </w:pPr>
      <w:r w:rsidRPr="00964C87">
        <w:t>documentation and reporting</w:t>
      </w:r>
    </w:p>
    <w:p w:rsidR="00000000" w:rsidRPr="00964C87" w:rsidP="00964C87">
      <w:pPr>
        <w:pStyle w:val="ListBullet2"/>
      </w:pPr>
      <w:r w:rsidRPr="00964C87">
        <w:t>quality systems</w:t>
      </w:r>
    </w:p>
    <w:p w:rsidR="00000000" w:rsidRPr="00964C87" w:rsidP="00964C87">
      <w:pPr>
        <w:pStyle w:val="ListBullet2"/>
      </w:pPr>
      <w:r w:rsidRPr="00964C87">
        <w:t>work role boundaries - responsibilities, limitations and pr</w:t>
      </w:r>
      <w:r w:rsidRPr="00964C87">
        <w:t>ofessional abilities.</w:t>
      </w:r>
    </w:p>
    <w:p w:rsidR="00000000" w:rsidRPr="00964C87" w:rsidP="00964C87">
      <w:pPr>
        <w:pStyle w:val="AllowPageBreak"/>
      </w:pPr>
    </w:p>
    <w:p w:rsidR="00000000" w:rsidRPr="00964C87" w:rsidP="00964C87">
      <w:pPr>
        <w:pStyle w:val="Heading1"/>
      </w:pPr>
      <w:bookmarkStart w:id="4" w:name="O_1196887"/>
      <w:bookmarkEnd w:id="4"/>
      <w:r w:rsidRPr="00964C87">
        <w:t>Assessment Conditions</w:t>
      </w:r>
    </w:p>
    <w:p w:rsidR="00000000" w:rsidRPr="00964C87" w:rsidP="00775A20">
      <w:pPr>
        <w:pStyle w:val="BodyText"/>
      </w:pPr>
      <w:r w:rsidRPr="00964C87">
        <w:t xml:space="preserve">Assessors must meet the requirements for assessors contained in the Standards for Registered Training Organisations. </w:t>
      </w:r>
    </w:p>
    <w:p w:rsidR="00000000" w:rsidRPr="00964C87" w:rsidP="00775A20">
      <w:pPr>
        <w:pStyle w:val="BodyText"/>
      </w:pPr>
      <w:r w:rsidRPr="00964C87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964C87" w:rsidP="00775A20">
      <w:pPr>
        <w:pStyle w:val="BodyText"/>
      </w:pPr>
      <w:r w:rsidRPr="00964C87">
        <w:t>Candidates must have access to documentation, info</w:t>
      </w:r>
      <w:r w:rsidRPr="00964C87">
        <w:t>rmation and technologies required to achieve the performance criteria and performance evidence.</w:t>
      </w:r>
    </w:p>
    <w:p w:rsidR="00000000" w:rsidRPr="00964C87" w:rsidP="00964C87">
      <w:pPr>
        <w:pStyle w:val="Heading1"/>
      </w:pPr>
      <w:bookmarkStart w:id="5" w:name="O_1196885"/>
      <w:bookmarkEnd w:id="5"/>
      <w:r w:rsidRPr="00964C87">
        <w:t>Links</w:t>
      </w:r>
    </w:p>
    <w:p w:rsidR="00000000" w:rsidRPr="00964C87" w:rsidP="00775A20">
      <w:pPr>
        <w:pStyle w:val="BodyText"/>
      </w:pPr>
      <w:r w:rsidRPr="00964C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D0F4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4C87" w:rsidP="00964C87"/>
    <w:sectPr w:rsidSect="00964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87" w:rsidRPr="00775A20" w:rsidP="00775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0" w:rsidP="00964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A20" w:rsidP="00964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5A20" w:rsidP="00964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C87" w:rsidRPr="00775A20" w:rsidP="00775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0" w:rsidRPr="002D2AF8" w:rsidP="00964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CPPDSM6008 Develop and implement strategic facilities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75A20" w:rsidP="00964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46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87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25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C87"/>
  </w:style>
  <w:style w:type="character" w:customStyle="1" w:styleId="Heading1Char">
    <w:name w:val="Heading 1 Char"/>
    <w:basedOn w:val="DefaultParagraphFont"/>
    <w:link w:val="Heading1"/>
    <w:rsid w:val="00964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C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C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C87"/>
    <w:rPr>
      <w:b/>
      <w:spacing w:val="0"/>
    </w:rPr>
  </w:style>
  <w:style w:type="paragraph" w:customStyle="1" w:styleId="SuperTitle">
    <w:name w:val="SuperTitle"/>
    <w:basedOn w:val="Title"/>
    <w:rsid w:val="00964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C87"/>
    <w:rPr>
      <w:i/>
    </w:rPr>
  </w:style>
  <w:style w:type="paragraph" w:styleId="Caption">
    <w:name w:val="caption"/>
    <w:basedOn w:val="BodyText"/>
    <w:next w:val="Normal"/>
    <w:qFormat/>
    <w:rsid w:val="00964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C87"/>
  </w:style>
  <w:style w:type="paragraph" w:styleId="TableofFigures">
    <w:name w:val="table of figures"/>
    <w:basedOn w:val="Normal"/>
    <w:next w:val="Normal"/>
    <w:semiHidden/>
    <w:rsid w:val="00964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C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C87"/>
    <w:rPr>
      <w:rFonts w:ascii="Wingdings" w:hAnsi="Wingdings"/>
    </w:rPr>
  </w:style>
  <w:style w:type="paragraph" w:customStyle="1" w:styleId="TableHeading">
    <w:name w:val="Table Heading"/>
    <w:basedOn w:val="HeadingBase"/>
    <w:rsid w:val="00964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C87"/>
    <w:rPr>
      <w:color w:val="0033CC"/>
      <w:u w:val="none"/>
    </w:rPr>
  </w:style>
  <w:style w:type="paragraph" w:customStyle="1" w:styleId="BodyTextRight">
    <w:name w:val="Body Text Right"/>
    <w:basedOn w:val="BodyText"/>
    <w:rsid w:val="00964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C87"/>
    <w:rPr>
      <w:sz w:val="32"/>
    </w:rPr>
  </w:style>
  <w:style w:type="paragraph" w:customStyle="1" w:styleId="HeadingProcedure">
    <w:name w:val="Heading Procedure"/>
    <w:basedOn w:val="HeadingBase"/>
    <w:next w:val="Normal"/>
    <w:rsid w:val="00964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C87"/>
    <w:pPr>
      <w:spacing w:before="60" w:after="60"/>
    </w:pPr>
  </w:style>
  <w:style w:type="paragraph" w:styleId="ListContinue">
    <w:name w:val="List Continue"/>
    <w:basedOn w:val="List"/>
    <w:rsid w:val="00964C87"/>
    <w:pPr>
      <w:ind w:firstLine="0"/>
    </w:pPr>
  </w:style>
  <w:style w:type="paragraph" w:customStyle="1" w:styleId="ListNote">
    <w:name w:val="List Note"/>
    <w:basedOn w:val="List"/>
    <w:rsid w:val="00964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C87"/>
    <w:rPr>
      <w:rFonts w:ascii="Courier New" w:hAnsi="Courier New"/>
    </w:rPr>
  </w:style>
  <w:style w:type="paragraph" w:customStyle="1" w:styleId="NoteBullet">
    <w:name w:val="Note Bullet"/>
    <w:basedOn w:val="Note"/>
    <w:rsid w:val="00964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C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C87"/>
    <w:rPr>
      <w:b/>
      <w:smallCaps/>
    </w:rPr>
  </w:style>
  <w:style w:type="paragraph" w:customStyle="1" w:styleId="TableListNumber">
    <w:name w:val="Table List Number"/>
    <w:basedOn w:val="ListNumber"/>
    <w:rsid w:val="00964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C87"/>
    <w:pPr>
      <w:numPr>
        <w:numId w:val="9"/>
      </w:numPr>
    </w:pPr>
  </w:style>
  <w:style w:type="paragraph" w:customStyle="1" w:styleId="ListAlpha2">
    <w:name w:val="List Alpha 2"/>
    <w:basedOn w:val="List2"/>
    <w:rsid w:val="00964C87"/>
    <w:pPr>
      <w:numPr>
        <w:numId w:val="8"/>
      </w:numPr>
    </w:pPr>
  </w:style>
  <w:style w:type="paragraph" w:styleId="List2">
    <w:name w:val="List 2"/>
    <w:basedOn w:val="BodyText"/>
    <w:rsid w:val="00964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C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C87"/>
    <w:pPr>
      <w:numPr>
        <w:numId w:val="4"/>
      </w:numPr>
    </w:pPr>
  </w:style>
  <w:style w:type="paragraph" w:styleId="ListContinue2">
    <w:name w:val="List Continue 2"/>
    <w:basedOn w:val="List2"/>
    <w:rsid w:val="00964C87"/>
    <w:pPr>
      <w:ind w:firstLine="0"/>
    </w:pPr>
  </w:style>
  <w:style w:type="paragraph" w:styleId="ListContinue3">
    <w:name w:val="List Continue 3"/>
    <w:basedOn w:val="List3"/>
    <w:rsid w:val="00964C87"/>
    <w:pPr>
      <w:ind w:left="1021" w:firstLine="0"/>
    </w:pPr>
  </w:style>
  <w:style w:type="paragraph" w:styleId="ListContinue4">
    <w:name w:val="List Continue 4"/>
    <w:basedOn w:val="List4"/>
    <w:rsid w:val="00964C87"/>
    <w:pPr>
      <w:ind w:firstLine="0"/>
    </w:pPr>
  </w:style>
  <w:style w:type="paragraph" w:styleId="ListContinue5">
    <w:name w:val="List Continue 5"/>
    <w:basedOn w:val="List5"/>
    <w:rsid w:val="00964C87"/>
    <w:pPr>
      <w:ind w:firstLine="0"/>
    </w:pPr>
  </w:style>
  <w:style w:type="paragraph" w:styleId="ListNumber3">
    <w:name w:val="List Number 3"/>
    <w:basedOn w:val="List3"/>
    <w:rsid w:val="00964C87"/>
    <w:pPr>
      <w:numPr>
        <w:numId w:val="5"/>
      </w:numPr>
    </w:pPr>
  </w:style>
  <w:style w:type="paragraph" w:styleId="ListNumber4">
    <w:name w:val="List Number 4"/>
    <w:basedOn w:val="List4"/>
    <w:rsid w:val="00964C87"/>
    <w:pPr>
      <w:numPr>
        <w:numId w:val="6"/>
      </w:numPr>
    </w:pPr>
  </w:style>
  <w:style w:type="paragraph" w:styleId="ListNumber5">
    <w:name w:val="List Number 5"/>
    <w:basedOn w:val="List5"/>
    <w:rsid w:val="00964C87"/>
    <w:pPr>
      <w:numPr>
        <w:numId w:val="7"/>
      </w:numPr>
    </w:pPr>
  </w:style>
  <w:style w:type="paragraph" w:styleId="BlockText">
    <w:name w:val="Block Text"/>
    <w:basedOn w:val="Normal"/>
    <w:rsid w:val="00964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C87"/>
    <w:rPr>
      <w:sz w:val="16"/>
      <w:vertAlign w:val="superscript"/>
    </w:rPr>
  </w:style>
  <w:style w:type="character" w:customStyle="1" w:styleId="Symbols">
    <w:name w:val="Symbols"/>
    <w:basedOn w:val="DefaultParagraphFont"/>
    <w:rsid w:val="00964C87"/>
    <w:rPr>
      <w:rFonts w:ascii="Symbol" w:hAnsi="Symbol"/>
    </w:rPr>
  </w:style>
  <w:style w:type="character" w:customStyle="1" w:styleId="MenuOptions">
    <w:name w:val="Menu Options"/>
    <w:basedOn w:val="DefaultParagraphFont"/>
    <w:rsid w:val="00964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C87"/>
    <w:rPr>
      <w:b/>
    </w:rPr>
  </w:style>
  <w:style w:type="character" w:customStyle="1" w:styleId="Underlined">
    <w:name w:val="Underlined"/>
    <w:basedOn w:val="DefaultParagraphFont"/>
    <w:rsid w:val="00964C87"/>
    <w:rPr>
      <w:u w:val="single"/>
    </w:rPr>
  </w:style>
  <w:style w:type="paragraph" w:customStyle="1" w:styleId="TableBodyTextRight">
    <w:name w:val="Table Body Text Right"/>
    <w:basedOn w:val="TableBodyText"/>
    <w:rsid w:val="00964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C87"/>
    <w:rPr>
      <w:sz w:val="18"/>
    </w:rPr>
  </w:style>
  <w:style w:type="paragraph" w:customStyle="1" w:styleId="BodySmallRight">
    <w:name w:val="Body Small Right"/>
    <w:basedOn w:val="BodyTextRight"/>
    <w:rsid w:val="00964C87"/>
    <w:rPr>
      <w:sz w:val="18"/>
      <w:szCs w:val="18"/>
    </w:rPr>
  </w:style>
  <w:style w:type="paragraph" w:customStyle="1" w:styleId="MarginEdition">
    <w:name w:val="Margin Edition"/>
    <w:basedOn w:val="MarginNote"/>
    <w:rsid w:val="00964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C87"/>
    <w:rPr>
      <w:sz w:val="2"/>
      <w:szCs w:val="2"/>
    </w:rPr>
  </w:style>
  <w:style w:type="character" w:customStyle="1" w:styleId="Small">
    <w:name w:val="Small"/>
    <w:basedOn w:val="DefaultParagraphFont"/>
    <w:rsid w:val="00964C87"/>
    <w:rPr>
      <w:sz w:val="16"/>
    </w:rPr>
  </w:style>
  <w:style w:type="paragraph" w:customStyle="1" w:styleId="WideTable">
    <w:name w:val="Wide Table"/>
    <w:basedOn w:val="Normal"/>
    <w:rsid w:val="00964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C87"/>
  </w:style>
  <w:style w:type="paragraph" w:styleId="Quote">
    <w:name w:val="Quote"/>
    <w:basedOn w:val="Heading1"/>
    <w:link w:val="QuoteChar"/>
    <w:qFormat/>
    <w:rsid w:val="00964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C87"/>
    <w:pPr>
      <w:pageBreakBefore/>
    </w:pPr>
  </w:style>
  <w:style w:type="paragraph" w:customStyle="1" w:styleId="Border">
    <w:name w:val="Border"/>
    <w:basedOn w:val="Normal"/>
    <w:qFormat/>
    <w:rsid w:val="00964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C87"/>
    <w:rPr>
      <w:u w:val="single"/>
    </w:rPr>
  </w:style>
  <w:style w:type="character" w:customStyle="1" w:styleId="BoldandItalics">
    <w:name w:val="Bold and Italics"/>
    <w:qFormat/>
    <w:rsid w:val="00964C87"/>
    <w:rPr>
      <w:b/>
      <w:i/>
      <w:u w:val="none"/>
    </w:rPr>
  </w:style>
  <w:style w:type="paragraph" w:styleId="BalloonText">
    <w:name w:val="Balloon Text"/>
    <w:basedOn w:val="Normal"/>
    <w:link w:val="BalloonTextChar"/>
    <w:rsid w:val="00964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C87"/>
    <w:pPr>
      <w:spacing w:before="0" w:after="0"/>
    </w:pPr>
  </w:style>
  <w:style w:type="paragraph" w:customStyle="1" w:styleId="BodyTextBold">
    <w:name w:val="Body Text Bold"/>
    <w:basedOn w:val="BodyText"/>
    <w:qFormat/>
    <w:rsid w:val="00964C87"/>
    <w:rPr>
      <w:b/>
    </w:rPr>
  </w:style>
  <w:style w:type="character" w:styleId="Hyperlink">
    <w:name w:val="Hyperlink"/>
    <w:basedOn w:val="DefaultParagraphFont"/>
    <w:uiPriority w:val="99"/>
    <w:unhideWhenUsed/>
    <w:rsid w:val="00775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2864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CPPDSM6008 Develop and implement strategic facilities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