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485" w:rsidP="00FD44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CPPDSM6002 Conduct property investment feasibility study</w:t>
      </w:r>
      <w:r>
        <w:fldChar w:fldCharType="end"/>
      </w:r>
    </w:p>
    <w:p w:rsidR="00FD4485" w:rsidP="00FD4485">
      <w:pPr>
        <w:pStyle w:val="Version"/>
        <w:sectPr w:rsidSect="001C3A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3AE5" w:rsidP="001C3AE5">
      <w:pPr>
        <w:pStyle w:val="SuperHeading"/>
      </w:pPr>
      <w:r w:rsidRPr="001C3AE5">
        <w:t>CPPDSM6002 Conduct property investment feasibility study</w:t>
      </w:r>
    </w:p>
    <w:p w:rsidR="00000000" w:rsidRPr="001C3AE5" w:rsidP="001C3AE5">
      <w:pPr>
        <w:pStyle w:val="Heading1"/>
      </w:pPr>
      <w:bookmarkStart w:id="1" w:name="O_1196873"/>
      <w:bookmarkEnd w:id="1"/>
      <w:r w:rsidRPr="001C3A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E5" w:rsidP="001C3AE5">
            <w:pPr>
              <w:pStyle w:val="BodyText"/>
            </w:pPr>
            <w:r w:rsidRPr="001C3AE5">
              <w:t>This version first released with CPP Property Services Training Package Release 15.0.</w:t>
            </w:r>
          </w:p>
          <w:p w:rsidR="00000000" w:rsidRPr="001C3AE5" w:rsidP="001C3AE5">
            <w:pPr>
              <w:pStyle w:val="BodyText"/>
            </w:pPr>
            <w:r w:rsidRPr="001C3AE5">
              <w:t xml:space="preserve">Supersedes and is equivalent to CPPDSM6002A Conduct a property investment feasibility study. Minor change to unit title. </w:t>
            </w:r>
            <w:r w:rsidRPr="001C3AE5">
              <w:t xml:space="preserve"> Unit updated to meet the Standards for Training Packages 2012. </w:t>
            </w:r>
          </w:p>
        </w:tc>
      </w:tr>
    </w:tbl>
    <w:p w:rsidR="00000000" w:rsidRPr="001C3AE5" w:rsidP="001C3AE5">
      <w:pPr>
        <w:pStyle w:val="BodyText"/>
      </w:pPr>
    </w:p>
    <w:p w:rsidR="00000000" w:rsidRPr="001C3AE5" w:rsidP="001C3AE5">
      <w:pPr>
        <w:pStyle w:val="AllowPageBreak"/>
      </w:pPr>
    </w:p>
    <w:p w:rsidR="00000000" w:rsidRPr="001C3AE5" w:rsidP="001C3AE5">
      <w:pPr>
        <w:pStyle w:val="Heading1"/>
      </w:pPr>
      <w:bookmarkStart w:id="2" w:name="O_1196879"/>
      <w:bookmarkEnd w:id="2"/>
      <w:r w:rsidRPr="001C3AE5">
        <w:t>Application</w:t>
      </w:r>
    </w:p>
    <w:p w:rsidR="00000000" w:rsidRPr="001C3AE5" w:rsidP="00FD4485">
      <w:pPr>
        <w:pStyle w:val="BodyText"/>
      </w:pPr>
      <w:r w:rsidRPr="001C3AE5">
        <w:t>This unit of competency specifies the skills and knowledge required to assess property investment feasibility. It includes establishing study requirements, co</w:t>
      </w:r>
      <w:r w:rsidRPr="001C3AE5">
        <w:t>nducting research, analysing comparative market data, formulating investment scenarios, and documenting findings and conclusions.</w:t>
      </w:r>
    </w:p>
    <w:p w:rsidR="00000000" w:rsidRPr="001C3AE5" w:rsidP="00FD4485">
      <w:pPr>
        <w:pStyle w:val="BodyText"/>
      </w:pPr>
      <w:r w:rsidRPr="001C3AE5">
        <w:t>This unit is for individuals who use their broad theoretical and technical skills and knowledge to analyse information, provid</w:t>
      </w:r>
      <w:r w:rsidRPr="001C3AE5">
        <w:t>e advice and devise solutions to sometimes complex problems in compliance with regulatory requirements for the provision of property services.</w:t>
      </w:r>
    </w:p>
    <w:p w:rsidR="00000000" w:rsidRPr="001C3AE5" w:rsidP="00FD4485">
      <w:pPr>
        <w:pStyle w:val="BodyText"/>
      </w:pPr>
      <w:r w:rsidRPr="001C3AE5">
        <w:t>Legislative, regulatory or certification requirements apply to work in property services in some states and terri</w:t>
      </w:r>
      <w:r w:rsidRPr="001C3AE5">
        <w:t>tories. For further information, check with the relevant regulatory authority.</w:t>
      </w:r>
    </w:p>
    <w:p w:rsidR="00000000" w:rsidRPr="001C3AE5" w:rsidP="001C3AE5">
      <w:pPr>
        <w:pStyle w:val="Heading1"/>
      </w:pPr>
      <w:bookmarkStart w:id="3" w:name="O_1196878"/>
      <w:bookmarkEnd w:id="3"/>
      <w:r w:rsidRPr="001C3AE5">
        <w:t>Pre-requisite Unit</w:t>
      </w:r>
    </w:p>
    <w:p w:rsidR="00000000" w:rsidRPr="001C3AE5" w:rsidP="00FD4485">
      <w:pPr>
        <w:pStyle w:val="BodyText"/>
      </w:pPr>
      <w:r w:rsidRPr="001C3AE5">
        <w:t>Nil.</w:t>
      </w:r>
    </w:p>
    <w:p w:rsidR="00000000" w:rsidRPr="001C3AE5" w:rsidP="001C3AE5">
      <w:pPr>
        <w:pStyle w:val="Heading1"/>
      </w:pPr>
      <w:bookmarkStart w:id="4" w:name="O_1196877"/>
      <w:bookmarkEnd w:id="4"/>
      <w:r w:rsidRPr="001C3AE5">
        <w:t>Unit Sector</w:t>
      </w:r>
    </w:p>
    <w:p w:rsidR="00000000" w:rsidRPr="001C3AE5" w:rsidP="00FD4485">
      <w:pPr>
        <w:pStyle w:val="BodyText"/>
      </w:pPr>
      <w:r w:rsidRPr="001C3AE5">
        <w:t>Strata Community Management.</w:t>
      </w:r>
    </w:p>
    <w:p w:rsidR="00000000" w:rsidRPr="001C3AE5" w:rsidP="001C3AE5">
      <w:pPr>
        <w:pStyle w:val="Heading1"/>
      </w:pPr>
      <w:bookmarkStart w:id="5" w:name="O_1196876"/>
      <w:bookmarkEnd w:id="5"/>
      <w:r w:rsidRPr="001C3A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Elements describe the</w:t>
            </w:r>
            <w:r w:rsidRPr="001C3AE5">
              <w:t xml:space="preserve">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Performance criteria describe what needs to be done to demonstrate achievement of the element.</w:t>
            </w: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Establish study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Establish aims and objectives of property investment feasibility study according to client and workplace requirements.</w:t>
            </w: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 xml:space="preserve">Negotiate and agree study objectives and timelines in </w:t>
            </w:r>
            <w:r w:rsidRPr="001C3AE5">
              <w:t>consultation with relevant persons.</w:t>
            </w: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Gather and review relevant information to identify regulatory compliance and other critical requirements of the study.</w:t>
            </w: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Conduct initial comparisons with similar properties to allow effective comparison with client expectations.</w:t>
            </w: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Identify situat</w:t>
            </w:r>
            <w:r w:rsidRPr="001C3AE5">
              <w:t>ions requiring specialist advice and seek support as required according to workplace requirements.</w:t>
            </w: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Conduct research to access relevant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Use technologies to conduct research and access information relevant to study according to workplace requirements.</w:t>
            </w: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Access market information and evaluate its validity, reliability and relevance according to identified analysis requirements.</w:t>
            </w: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Consult with relevant persons to gather additional information to support study.</w:t>
            </w: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Conduct environmental scan to identify and assess factors that may impact study.</w:t>
            </w: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Document research findings in a format suitable for analysis according to workpl</w:t>
            </w:r>
            <w:r w:rsidRPr="001C3AE5">
              <w:t>ace requirements.</w:t>
            </w: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Analyse investment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Undertake quantitative and qualitative analysis of comparative market data using standard financial analysis techniques.</w:t>
            </w: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Identify and evaluate relevant economic trends and market developments to determine potential implications and impact on study objectives.</w:t>
            </w: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Identify and analyse factors increasing or diminishing investment risk and discuss findings with client.</w:t>
            </w: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Apply sound reasoning to analysis findings to ensure interpretations and decisions are supported by rationale.</w:t>
            </w: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 xml:space="preserve">Formulate investment </w:t>
            </w:r>
            <w:r w:rsidRPr="001C3AE5">
              <w:t>scenarios.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 xml:space="preserve">Develop alternative investment scenarios to meet study </w:t>
            </w:r>
            <w:r w:rsidRPr="001C3AE5">
              <w:t>requirements.</w:t>
            </w: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Use consultative processes to obtain relevant expertise to support formulation of investment scenarios.</w:t>
            </w: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Verify investment scenarios against prescribed criteria and analyse to minimise subjective assessment.</w:t>
            </w: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Perform sensitive analysis on data to identify degree of convergence within identified industry and market benchmarks.</w:t>
            </w: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Identify property trends and market conditions and evaluate against study requirements.</w:t>
            </w: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Finalise property investment feasibility study.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Prepare comprehensive property investment feasibility study in an appropriate format, style and structure according to client and workplace requirements.</w:t>
            </w: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Distribute study to relevant persons within</w:t>
            </w:r>
            <w:r w:rsidRPr="001C3AE5">
              <w:t xml:space="preserve"> agreed timeframes according to workplace requirements.</w:t>
            </w: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Document conclusions that are verifiable, current and sufficiently detailed to meet identified client and workplace requirements.</w:t>
            </w:r>
          </w:p>
        </w:tc>
      </w:tr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E5" w:rsidP="001C3AE5">
            <w:pPr>
              <w:pStyle w:val="BodyText"/>
            </w:pPr>
            <w:r w:rsidRPr="001C3AE5">
              <w:t>Securely maintain investment feasibility</w:t>
            </w:r>
            <w:r w:rsidRPr="001C3AE5">
              <w:t xml:space="preserve"> study and related documentation according to regulatory and workplace requirements.</w:t>
            </w:r>
          </w:p>
        </w:tc>
      </w:tr>
    </w:tbl>
    <w:p w:rsidR="00000000" w:rsidRPr="001C3AE5" w:rsidP="001C3AE5">
      <w:pPr>
        <w:pStyle w:val="BodyText"/>
      </w:pPr>
    </w:p>
    <w:p w:rsidR="00000000" w:rsidRPr="001C3AE5" w:rsidP="001C3AE5">
      <w:pPr>
        <w:pStyle w:val="AllowPageBreak"/>
      </w:pPr>
    </w:p>
    <w:p w:rsidR="00000000" w:rsidRPr="001C3AE5" w:rsidP="001C3AE5">
      <w:pPr>
        <w:pStyle w:val="Heading1"/>
      </w:pPr>
      <w:bookmarkStart w:id="6" w:name="O_1196875"/>
      <w:bookmarkEnd w:id="6"/>
      <w:r w:rsidRPr="001C3AE5">
        <w:t>Foundation Skills</w:t>
      </w:r>
    </w:p>
    <w:p w:rsidR="00000000" w:rsidRPr="001C3AE5" w:rsidP="00FD4485">
      <w:pPr>
        <w:pStyle w:val="BodyText"/>
      </w:pPr>
      <w:r w:rsidRPr="001C3AE5">
        <w:t>Foundation skills essential to performance are explicit in the performance criteria of this unit of competency.</w:t>
      </w:r>
    </w:p>
    <w:p w:rsidR="00000000" w:rsidRPr="001C3AE5" w:rsidP="001C3AE5">
      <w:pPr>
        <w:pStyle w:val="Heading1"/>
      </w:pPr>
      <w:bookmarkStart w:id="7" w:name="O_1196874"/>
      <w:bookmarkEnd w:id="7"/>
      <w:r w:rsidRPr="001C3AE5">
        <w:t>U</w:t>
      </w:r>
      <w:r w:rsidRPr="001C3AE5">
        <w:t>nit Mapping Information</w:t>
      </w:r>
    </w:p>
    <w:p w:rsidR="00000000" w:rsidRPr="001C3AE5" w:rsidP="00FD4485">
      <w:pPr>
        <w:pStyle w:val="BodyText"/>
      </w:pPr>
      <w:r w:rsidRPr="001C3AE5">
        <w:t>Supersedes and is equivalent to CPPDSM6002A Conduct a property investment feasibility study.</w:t>
      </w:r>
    </w:p>
    <w:p w:rsidR="00000000" w:rsidRPr="001C3AE5" w:rsidP="001C3AE5">
      <w:pPr>
        <w:pStyle w:val="Heading1"/>
      </w:pPr>
      <w:bookmarkStart w:id="8" w:name="O_1196867"/>
      <w:bookmarkEnd w:id="8"/>
      <w:r w:rsidRPr="001C3AE5">
        <w:t>Links</w:t>
      </w:r>
    </w:p>
    <w:p w:rsidR="00000000" w:rsidRPr="001C3AE5" w:rsidP="00FD4485">
      <w:pPr>
        <w:pStyle w:val="BodyText"/>
      </w:pPr>
      <w:r w:rsidRPr="001C3AE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27BC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C3AE5" w:rsidP="00FD4485">
      <w:pPr>
        <w:pStyle w:val="BodyText"/>
        <w:sectPr w:rsidSect="001C3A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3AE5" w:rsidP="001C3AE5">
      <w:pPr>
        <w:pStyle w:val="SuperHeading"/>
      </w:pPr>
      <w:r w:rsidRPr="001C3AE5">
        <w:t>Assessment Requirements for CPPDSM6002 Conduct property investment feasibility study</w:t>
      </w:r>
    </w:p>
    <w:p w:rsidR="00000000" w:rsidRPr="001C3AE5" w:rsidP="001C3AE5">
      <w:pPr>
        <w:pStyle w:val="Heading1"/>
      </w:pPr>
      <w:bookmarkStart w:id="9" w:name="O_1196869"/>
      <w:bookmarkEnd w:id="9"/>
      <w:r w:rsidRPr="001C3A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1C3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AE5">
            <w:pPr>
              <w:pStyle w:val="BodyText"/>
              <w:rPr>
                <w:lang w:val="en-NZ"/>
              </w:rPr>
            </w:pPr>
            <w:r w:rsidRPr="001C3AE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AE5" w:rsidP="001C3AE5">
            <w:pPr>
              <w:pStyle w:val="BodyText"/>
            </w:pPr>
            <w:r w:rsidRPr="001C3AE5">
              <w:t>This version first released with CPP Property Services Training Package Release 15.0.</w:t>
            </w:r>
          </w:p>
          <w:p w:rsidR="00000000" w:rsidRPr="001C3AE5" w:rsidP="001C3AE5">
            <w:pPr>
              <w:pStyle w:val="BodyText"/>
            </w:pPr>
            <w:r w:rsidRPr="001C3AE5">
              <w:t xml:space="preserve">Supersedes and is equivalent to CPPDSM6002A Conduct a property investment feasibility study. Minor change to unit title.  Unit updated to meet the Standards for Training </w:t>
            </w:r>
            <w:r w:rsidRPr="001C3AE5">
              <w:t xml:space="preserve">Packages 2012. </w:t>
            </w:r>
          </w:p>
        </w:tc>
      </w:tr>
    </w:tbl>
    <w:p w:rsidR="00000000" w:rsidRPr="001C3AE5" w:rsidP="001C3AE5">
      <w:pPr>
        <w:pStyle w:val="BodyText"/>
      </w:pPr>
    </w:p>
    <w:p w:rsidR="00000000" w:rsidRPr="001C3AE5" w:rsidP="001C3AE5">
      <w:pPr>
        <w:pStyle w:val="AllowPageBreak"/>
      </w:pPr>
    </w:p>
    <w:p w:rsidR="00000000" w:rsidRPr="001C3AE5" w:rsidP="001C3AE5">
      <w:pPr>
        <w:pStyle w:val="Heading1"/>
      </w:pPr>
      <w:bookmarkStart w:id="10" w:name="O_1196872"/>
      <w:bookmarkEnd w:id="10"/>
      <w:r w:rsidRPr="001C3AE5">
        <w:t>Performance Evidence</w:t>
      </w:r>
    </w:p>
    <w:p w:rsidR="00000000" w:rsidRPr="001C3AE5" w:rsidP="00FD4485">
      <w:pPr>
        <w:pStyle w:val="BodyText"/>
      </w:pPr>
      <w:r w:rsidRPr="001C3AE5">
        <w:t>To demonstrate competency, a candidate must meet the elements and performance criteria of this unit by conducting two property investment feasibility studies.</w:t>
      </w:r>
    </w:p>
    <w:p w:rsidR="00000000" w:rsidRPr="001C3AE5" w:rsidP="001C3AE5">
      <w:pPr>
        <w:pStyle w:val="Heading1"/>
      </w:pPr>
      <w:bookmarkStart w:id="11" w:name="O_1196871"/>
      <w:bookmarkEnd w:id="11"/>
      <w:r w:rsidRPr="001C3AE5">
        <w:t>Knowledge Evidence</w:t>
      </w:r>
    </w:p>
    <w:p w:rsidR="00000000" w:rsidRPr="001C3AE5" w:rsidP="00FD4485">
      <w:pPr>
        <w:pStyle w:val="BodyText"/>
      </w:pPr>
      <w:r w:rsidRPr="001C3AE5">
        <w:t>T</w:t>
      </w:r>
      <w:r w:rsidRPr="001C3AE5">
        <w:t>o be competent in this unit, a candidate must demonstrate knowledge of:</w:t>
      </w:r>
    </w:p>
    <w:p w:rsidR="00000000" w:rsidRPr="001C3AE5" w:rsidP="001C3AE5">
      <w:pPr>
        <w:pStyle w:val="ListBullet"/>
      </w:pPr>
      <w:r w:rsidRPr="001C3AE5">
        <w:t>alternative property uses</w:t>
      </w:r>
    </w:p>
    <w:p w:rsidR="00000000" w:rsidRPr="001C3AE5" w:rsidP="001C3AE5">
      <w:pPr>
        <w:pStyle w:val="ListBullet"/>
      </w:pPr>
      <w:r w:rsidRPr="001C3AE5">
        <w:t>analysis methods and techniques:</w:t>
      </w:r>
    </w:p>
    <w:p w:rsidR="00000000" w:rsidRPr="001C3AE5" w:rsidP="001C3AE5">
      <w:pPr>
        <w:pStyle w:val="ListBullet2"/>
      </w:pPr>
      <w:r w:rsidRPr="001C3AE5">
        <w:t>computer modelling</w:t>
      </w:r>
    </w:p>
    <w:p w:rsidR="00000000" w:rsidRPr="001C3AE5" w:rsidP="001C3AE5">
      <w:pPr>
        <w:pStyle w:val="ListBullet2"/>
      </w:pPr>
      <w:r w:rsidRPr="001C3AE5">
        <w:t>examination of cash flows and other financial projections</w:t>
      </w:r>
    </w:p>
    <w:p w:rsidR="00000000" w:rsidRPr="001C3AE5" w:rsidP="001C3AE5">
      <w:pPr>
        <w:pStyle w:val="ListBullet2"/>
      </w:pPr>
      <w:r w:rsidRPr="001C3AE5">
        <w:t>examination of collected data</w:t>
      </w:r>
    </w:p>
    <w:p w:rsidR="00000000" w:rsidRPr="001C3AE5" w:rsidP="001C3AE5">
      <w:pPr>
        <w:pStyle w:val="ListBullet2"/>
      </w:pPr>
      <w:r w:rsidRPr="001C3AE5">
        <w:t>quantitative and qualitative analysis</w:t>
      </w:r>
    </w:p>
    <w:p w:rsidR="00000000" w:rsidRPr="001C3AE5" w:rsidP="001C3AE5">
      <w:pPr>
        <w:pStyle w:val="ListBullet2"/>
      </w:pPr>
      <w:r w:rsidRPr="001C3AE5">
        <w:t>probability analysis</w:t>
      </w:r>
    </w:p>
    <w:p w:rsidR="00000000" w:rsidRPr="001C3AE5" w:rsidP="001C3AE5">
      <w:pPr>
        <w:pStyle w:val="ListBullet2"/>
      </w:pPr>
      <w:r w:rsidRPr="001C3AE5">
        <w:t>time series recognition</w:t>
      </w:r>
    </w:p>
    <w:p w:rsidR="00000000" w:rsidRPr="001C3AE5" w:rsidP="001C3AE5">
      <w:pPr>
        <w:pStyle w:val="ListBullet"/>
      </w:pPr>
      <w:r w:rsidRPr="001C3AE5">
        <w:t>compliance requirements of legislation, regulations, codes and standards relevant to conducting property investment feasibility studies:</w:t>
      </w:r>
    </w:p>
    <w:p w:rsidR="00000000" w:rsidRPr="001C3AE5" w:rsidP="001C3AE5">
      <w:pPr>
        <w:pStyle w:val="ListBullet2"/>
      </w:pPr>
      <w:r w:rsidRPr="001C3AE5">
        <w:t>anti-discrimination</w:t>
      </w:r>
    </w:p>
    <w:p w:rsidR="00000000" w:rsidRPr="001C3AE5" w:rsidP="001C3AE5">
      <w:pPr>
        <w:pStyle w:val="ListBullet2"/>
      </w:pPr>
      <w:r w:rsidRPr="001C3AE5">
        <w:t>building contr</w:t>
      </w:r>
      <w:r w:rsidRPr="001C3AE5">
        <w:t>ol legislation</w:t>
      </w:r>
    </w:p>
    <w:p w:rsidR="00000000" w:rsidRPr="001C3AE5" w:rsidP="001C3AE5">
      <w:pPr>
        <w:pStyle w:val="ListBullet2"/>
      </w:pPr>
      <w:r w:rsidRPr="001C3AE5">
        <w:t>consumer protection</w:t>
      </w:r>
    </w:p>
    <w:p w:rsidR="00000000" w:rsidRPr="001C3AE5" w:rsidP="001C3AE5">
      <w:pPr>
        <w:pStyle w:val="ListBullet2"/>
      </w:pPr>
      <w:r w:rsidRPr="001C3AE5">
        <w:t>environmental protection</w:t>
      </w:r>
    </w:p>
    <w:p w:rsidR="00000000" w:rsidRPr="001C3AE5" w:rsidP="001C3AE5">
      <w:pPr>
        <w:pStyle w:val="ListBullet2"/>
      </w:pPr>
      <w:r w:rsidRPr="001C3AE5">
        <w:t>financial probity</w:t>
      </w:r>
    </w:p>
    <w:p w:rsidR="00000000" w:rsidRPr="001C3AE5" w:rsidP="001C3AE5">
      <w:pPr>
        <w:pStyle w:val="ListBullet2"/>
      </w:pPr>
      <w:r w:rsidRPr="001C3AE5">
        <w:t>franchise and business structures</w:t>
      </w:r>
    </w:p>
    <w:p w:rsidR="00000000" w:rsidRPr="001C3AE5" w:rsidP="001C3AE5">
      <w:pPr>
        <w:pStyle w:val="ListBullet2"/>
      </w:pPr>
      <w:r w:rsidRPr="001C3AE5">
        <w:t>National Construction Code (NCC) and relevant Australian Standards</w:t>
      </w:r>
    </w:p>
    <w:p w:rsidR="00000000" w:rsidRPr="001C3AE5" w:rsidP="001C3AE5">
      <w:pPr>
        <w:pStyle w:val="ListBullet2"/>
      </w:pPr>
      <w:r w:rsidRPr="001C3AE5">
        <w:t>privacy</w:t>
      </w:r>
    </w:p>
    <w:p w:rsidR="00000000" w:rsidRPr="001C3AE5" w:rsidP="001C3AE5">
      <w:pPr>
        <w:pStyle w:val="ListBullet2"/>
      </w:pPr>
      <w:r w:rsidRPr="001C3AE5">
        <w:t>property sales, leasing and management</w:t>
      </w:r>
    </w:p>
    <w:p w:rsidR="00000000" w:rsidRPr="001C3AE5" w:rsidP="001C3AE5">
      <w:pPr>
        <w:pStyle w:val="ListBullet2"/>
      </w:pPr>
      <w:r w:rsidRPr="001C3AE5">
        <w:t>work health and safety (WHS)</w:t>
      </w:r>
    </w:p>
    <w:p w:rsidR="00000000" w:rsidRPr="001C3AE5" w:rsidP="001C3AE5">
      <w:pPr>
        <w:pStyle w:val="ListBullet"/>
      </w:pPr>
      <w:r w:rsidRPr="001C3AE5">
        <w:t>factors that might increase or diminish property investment risk:</w:t>
      </w:r>
    </w:p>
    <w:p w:rsidR="00000000" w:rsidRPr="001C3AE5" w:rsidP="001C3AE5">
      <w:pPr>
        <w:pStyle w:val="ListBullet2"/>
      </w:pPr>
      <w:r w:rsidRPr="001C3AE5">
        <w:t>constraints on use</w:t>
      </w:r>
    </w:p>
    <w:p w:rsidR="00000000" w:rsidRPr="001C3AE5" w:rsidP="001C3AE5">
      <w:pPr>
        <w:pStyle w:val="ListBullet2"/>
      </w:pPr>
      <w:r w:rsidRPr="001C3AE5">
        <w:t>existing land use and ownership</w:t>
      </w:r>
    </w:p>
    <w:p w:rsidR="00000000" w:rsidRPr="001C3AE5" w:rsidP="001C3AE5">
      <w:pPr>
        <w:pStyle w:val="ListBullet2"/>
      </w:pPr>
      <w:r w:rsidRPr="001C3AE5">
        <w:t>government zoning and restrictions</w:t>
      </w:r>
    </w:p>
    <w:p w:rsidR="00000000" w:rsidRPr="001C3AE5" w:rsidP="001C3AE5">
      <w:pPr>
        <w:pStyle w:val="ListBullet2"/>
      </w:pPr>
      <w:r w:rsidRPr="001C3AE5">
        <w:t>project financing</w:t>
      </w:r>
    </w:p>
    <w:p w:rsidR="00000000" w:rsidRPr="001C3AE5" w:rsidP="001C3AE5">
      <w:pPr>
        <w:pStyle w:val="ListBullet2"/>
      </w:pPr>
      <w:r w:rsidRPr="001C3AE5">
        <w:t>staging of investment or development</w:t>
      </w:r>
    </w:p>
    <w:p w:rsidR="00000000" w:rsidRPr="001C3AE5" w:rsidP="001C3AE5">
      <w:pPr>
        <w:pStyle w:val="ListBullet2"/>
      </w:pPr>
      <w:r w:rsidRPr="001C3AE5">
        <w:t>structure of leases</w:t>
      </w:r>
    </w:p>
    <w:p w:rsidR="00000000" w:rsidRPr="001C3AE5" w:rsidP="001C3AE5">
      <w:pPr>
        <w:pStyle w:val="ListBullet2"/>
      </w:pPr>
      <w:r w:rsidRPr="001C3AE5">
        <w:t>type and number of tenants</w:t>
      </w:r>
    </w:p>
    <w:p w:rsidR="00000000" w:rsidRPr="001C3AE5" w:rsidP="001C3AE5">
      <w:pPr>
        <w:pStyle w:val="ListBullet"/>
      </w:pPr>
      <w:r w:rsidRPr="001C3AE5">
        <w:t>project assessment methods</w:t>
      </w:r>
    </w:p>
    <w:p w:rsidR="00000000" w:rsidRPr="001C3AE5" w:rsidP="001C3AE5">
      <w:pPr>
        <w:pStyle w:val="ListBullet"/>
      </w:pPr>
      <w:r w:rsidRPr="001C3AE5">
        <w:t>risks associated with property investment:</w:t>
      </w:r>
    </w:p>
    <w:p w:rsidR="00000000" w:rsidRPr="001C3AE5" w:rsidP="001C3AE5">
      <w:pPr>
        <w:pStyle w:val="ListBullet2"/>
      </w:pPr>
      <w:r w:rsidRPr="001C3AE5">
        <w:t>asset allocation and investment spread</w:t>
      </w:r>
    </w:p>
    <w:p w:rsidR="00000000" w:rsidRPr="001C3AE5" w:rsidP="001C3AE5">
      <w:pPr>
        <w:pStyle w:val="ListBullet2"/>
      </w:pPr>
      <w:r w:rsidRPr="001C3AE5">
        <w:t>borrowing</w:t>
      </w:r>
    </w:p>
    <w:p w:rsidR="00000000" w:rsidRPr="001C3AE5" w:rsidP="001C3AE5">
      <w:pPr>
        <w:pStyle w:val="ListBullet2"/>
      </w:pPr>
      <w:r w:rsidRPr="001C3AE5">
        <w:t>gearing</w:t>
      </w:r>
    </w:p>
    <w:p w:rsidR="00000000" w:rsidRPr="001C3AE5" w:rsidP="001C3AE5">
      <w:pPr>
        <w:pStyle w:val="ListBullet2"/>
      </w:pPr>
      <w:r w:rsidRPr="001C3AE5">
        <w:t>economics</w:t>
      </w:r>
    </w:p>
    <w:p w:rsidR="00000000" w:rsidRPr="001C3AE5" w:rsidP="001C3AE5">
      <w:pPr>
        <w:pStyle w:val="ListBullet2"/>
      </w:pPr>
      <w:r w:rsidRPr="001C3AE5">
        <w:t>lifestyle choices</w:t>
      </w:r>
    </w:p>
    <w:p w:rsidR="00000000" w:rsidRPr="001C3AE5" w:rsidP="001C3AE5">
      <w:pPr>
        <w:pStyle w:val="ListBullet2"/>
      </w:pPr>
      <w:r w:rsidRPr="001C3AE5">
        <w:t>market and property sector risks: fluctuations in the economic cycle, interest rates and stock marke</w:t>
      </w:r>
      <w:r w:rsidRPr="001C3AE5">
        <w:t>t</w:t>
      </w:r>
    </w:p>
    <w:p w:rsidR="00000000" w:rsidRPr="001C3AE5" w:rsidP="001C3AE5">
      <w:pPr>
        <w:pStyle w:val="ListBullet2"/>
      </w:pPr>
      <w:r w:rsidRPr="001C3AE5">
        <w:t>client return expectations</w:t>
      </w:r>
    </w:p>
    <w:p w:rsidR="00000000" w:rsidRPr="001C3AE5" w:rsidP="001C3AE5">
      <w:pPr>
        <w:pStyle w:val="ListBullet2"/>
      </w:pPr>
      <w:r w:rsidRPr="001C3AE5">
        <w:t>volatility of income and capital</w:t>
      </w:r>
    </w:p>
    <w:p w:rsidR="00000000" w:rsidRPr="001C3AE5" w:rsidP="001C3AE5">
      <w:pPr>
        <w:pStyle w:val="ListBullet"/>
      </w:pPr>
      <w:r w:rsidRPr="001C3AE5">
        <w:t>sources of industry and market information related to property investment</w:t>
      </w:r>
    </w:p>
    <w:p w:rsidR="00000000" w:rsidRPr="001C3AE5" w:rsidP="001C3AE5">
      <w:pPr>
        <w:pStyle w:val="ListBullet"/>
      </w:pPr>
      <w:r w:rsidRPr="001C3AE5">
        <w:t>types of property markets</w:t>
      </w:r>
    </w:p>
    <w:p w:rsidR="00000000" w:rsidRPr="001C3AE5" w:rsidP="001C3AE5">
      <w:pPr>
        <w:pStyle w:val="ListBullet"/>
      </w:pPr>
      <w:r w:rsidRPr="001C3AE5">
        <w:t>value management associated with property investment</w:t>
      </w:r>
    </w:p>
    <w:p w:rsidR="00000000" w:rsidRPr="001C3AE5" w:rsidP="001C3AE5">
      <w:pPr>
        <w:pStyle w:val="ListBullet"/>
      </w:pPr>
      <w:r w:rsidRPr="001C3AE5">
        <w:t>workplace requirements for conducting property investment feasibility studies:</w:t>
      </w:r>
    </w:p>
    <w:p w:rsidR="00000000" w:rsidRPr="001C3AE5" w:rsidP="001C3AE5">
      <w:pPr>
        <w:pStyle w:val="ListBullet2"/>
      </w:pPr>
      <w:r w:rsidRPr="001C3AE5">
        <w:t>client service</w:t>
      </w:r>
    </w:p>
    <w:p w:rsidR="00000000" w:rsidRPr="001C3AE5" w:rsidP="001C3AE5">
      <w:pPr>
        <w:pStyle w:val="ListBullet2"/>
      </w:pPr>
      <w:r w:rsidRPr="001C3AE5">
        <w:t>documentation and reporting</w:t>
      </w:r>
    </w:p>
    <w:p w:rsidR="00000000" w:rsidRPr="001C3AE5" w:rsidP="001C3AE5">
      <w:pPr>
        <w:pStyle w:val="ListBullet2"/>
      </w:pPr>
      <w:r w:rsidRPr="001C3AE5">
        <w:t>work role boundaries - responsibilities, limitations and professional abilities.</w:t>
      </w:r>
    </w:p>
    <w:p w:rsidR="00000000" w:rsidRPr="001C3AE5" w:rsidP="001C3AE5">
      <w:pPr>
        <w:pStyle w:val="AllowPageBreak"/>
      </w:pPr>
    </w:p>
    <w:p w:rsidR="00000000" w:rsidRPr="001C3AE5" w:rsidP="001C3AE5">
      <w:pPr>
        <w:pStyle w:val="Heading1"/>
      </w:pPr>
      <w:bookmarkStart w:id="12" w:name="O_1196870"/>
      <w:bookmarkEnd w:id="12"/>
      <w:r w:rsidRPr="001C3AE5">
        <w:t>Assessment Conditions</w:t>
      </w:r>
    </w:p>
    <w:p w:rsidR="00000000" w:rsidRPr="001C3AE5" w:rsidP="00FD4485">
      <w:pPr>
        <w:pStyle w:val="BodyText"/>
      </w:pPr>
      <w:r w:rsidRPr="001C3AE5">
        <w:t>Assessors m</w:t>
      </w:r>
      <w:r w:rsidRPr="001C3AE5">
        <w:t xml:space="preserve">ust meet the requirements for assessors contained in the Standards for Registered Training Organisations. </w:t>
      </w:r>
    </w:p>
    <w:p w:rsidR="00000000" w:rsidRPr="001C3AE5" w:rsidP="00FD4485">
      <w:pPr>
        <w:pStyle w:val="BodyText"/>
      </w:pPr>
      <w:r w:rsidRPr="001C3AE5">
        <w:t>Assessment must be conducted in the workplace or a simulated workplace using realistic conditions, materials, activities, responsibilities, procedure</w:t>
      </w:r>
      <w:r w:rsidRPr="001C3AE5">
        <w:t>s, safety requirements and environmental considerations.</w:t>
      </w:r>
    </w:p>
    <w:p w:rsidR="00000000" w:rsidRPr="001C3AE5" w:rsidP="00FD4485">
      <w:pPr>
        <w:pStyle w:val="BodyText"/>
      </w:pPr>
      <w:r w:rsidRPr="001C3AE5">
        <w:t>Candidates must have access to documentation, information and technologies required to achieve the performance criteria and performance evidence.</w:t>
      </w:r>
    </w:p>
    <w:p w:rsidR="00000000" w:rsidRPr="001C3AE5" w:rsidP="001C3AE5">
      <w:pPr>
        <w:pStyle w:val="Heading1"/>
      </w:pPr>
      <w:bookmarkStart w:id="13" w:name="O_1196868"/>
      <w:bookmarkEnd w:id="13"/>
      <w:r w:rsidRPr="001C3AE5">
        <w:t>Links</w:t>
      </w:r>
    </w:p>
    <w:p w:rsidR="00000000" w:rsidRPr="001C3AE5" w:rsidP="00FD4485">
      <w:pPr>
        <w:pStyle w:val="BodyText"/>
      </w:pPr>
      <w:r w:rsidRPr="001C3AE5">
        <w:t>Companion volumes to this tr</w:t>
      </w:r>
      <w:r w:rsidRPr="001C3AE5">
        <w:t xml:space="preserve">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27BC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C3AE5" w:rsidP="001C3AE5"/>
    <w:sectPr w:rsidSect="001C3A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A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AE5" w:rsidRPr="00FD4485" w:rsidP="00FD44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A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485" w:rsidP="001C3A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4485" w:rsidP="001C3A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D4485" w:rsidP="001C3A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AE5" w:rsidP="001C3A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4485">
      <w:t>Approved</w:t>
    </w:r>
    <w:r w:rsidR="00FD44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44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4485">
      <w:rPr>
        <w:noProof/>
      </w:rPr>
      <w:t>4</w:t>
    </w:r>
    <w:r>
      <w:rPr>
        <w:noProof/>
      </w:rPr>
      <w:fldChar w:fldCharType="end"/>
    </w:r>
  </w:p>
  <w:p w:rsidR="001C3AE5" w:rsidP="001C3A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44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4485">
      <w:t>BuildSkills Australia</w:t>
    </w:r>
    <w:r w:rsidR="00FD4485">
      <w:fldChar w:fldCharType="end"/>
    </w:r>
  </w:p>
  <w:p w:rsidR="001C3AE5" w:rsidP="001C3A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A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4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3AE5" w:rsidRPr="00FD4485" w:rsidP="00FD44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A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485" w:rsidRPr="002D2AF8" w:rsidP="001C3A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CPPDSM6002 Conduct property investment feasibility study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D4485" w:rsidP="001C3A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AE5" w:rsidRPr="002D2AF8" w:rsidP="001C3A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4485">
      <w:t>CPPDSM6002 Conduct property investment feasibility study</w:t>
    </w:r>
    <w:r w:rsidR="00FD44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4485">
      <w:rPr>
        <w:noProof/>
      </w:rPr>
      <w:t>1 March 2025</w:t>
    </w:r>
    <w:r>
      <w:fldChar w:fldCharType="end"/>
    </w:r>
  </w:p>
  <w:p w:rsidR="001C3AE5" w:rsidP="001C3A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0C9B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DE8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CA1D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A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3A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A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A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A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A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A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A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A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A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A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AE5"/>
  </w:style>
  <w:style w:type="character" w:customStyle="1" w:styleId="Heading1Char">
    <w:name w:val="Heading 1 Char"/>
    <w:basedOn w:val="DefaultParagraphFont"/>
    <w:link w:val="Heading1"/>
    <w:rsid w:val="001C3A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A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A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3A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3A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3A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3A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3A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A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A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3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3A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3A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A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A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A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A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3A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A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3A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A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A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3A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3A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3AE5"/>
    <w:rPr>
      <w:b/>
      <w:spacing w:val="0"/>
    </w:rPr>
  </w:style>
  <w:style w:type="paragraph" w:customStyle="1" w:styleId="SuperTitle">
    <w:name w:val="SuperTitle"/>
    <w:basedOn w:val="Title"/>
    <w:rsid w:val="001C3A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A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A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3A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A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3A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A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3A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A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A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A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A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3AE5"/>
    <w:rPr>
      <w:i/>
    </w:rPr>
  </w:style>
  <w:style w:type="paragraph" w:styleId="Caption">
    <w:name w:val="caption"/>
    <w:basedOn w:val="BodyText"/>
    <w:next w:val="Normal"/>
    <w:qFormat/>
    <w:rsid w:val="001C3A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A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A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AE5"/>
  </w:style>
  <w:style w:type="paragraph" w:styleId="TableofFigures">
    <w:name w:val="table of figures"/>
    <w:basedOn w:val="Normal"/>
    <w:next w:val="Normal"/>
    <w:semiHidden/>
    <w:rsid w:val="001C3A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A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3AE5"/>
    <w:rPr>
      <w:rFonts w:ascii="Wingdings" w:hAnsi="Wingdings"/>
    </w:rPr>
  </w:style>
  <w:style w:type="paragraph" w:customStyle="1" w:styleId="TableHeading">
    <w:name w:val="Table Heading"/>
    <w:basedOn w:val="HeadingBase"/>
    <w:rsid w:val="001C3A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3AE5"/>
    <w:rPr>
      <w:color w:val="0033CC"/>
      <w:u w:val="none"/>
    </w:rPr>
  </w:style>
  <w:style w:type="paragraph" w:customStyle="1" w:styleId="BodyTextRight">
    <w:name w:val="Body Text Right"/>
    <w:basedOn w:val="BodyText"/>
    <w:rsid w:val="001C3A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A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A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A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A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A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3AE5"/>
    <w:rPr>
      <w:sz w:val="32"/>
    </w:rPr>
  </w:style>
  <w:style w:type="paragraph" w:customStyle="1" w:styleId="HeadingProcedure">
    <w:name w:val="Heading Procedure"/>
    <w:basedOn w:val="HeadingBase"/>
    <w:next w:val="Normal"/>
    <w:rsid w:val="001C3A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AE5"/>
    <w:pPr>
      <w:spacing w:before="60" w:after="60"/>
    </w:pPr>
  </w:style>
  <w:style w:type="paragraph" w:styleId="ListContinue">
    <w:name w:val="List Continue"/>
    <w:basedOn w:val="List"/>
    <w:rsid w:val="001C3AE5"/>
    <w:pPr>
      <w:ind w:firstLine="0"/>
    </w:pPr>
  </w:style>
  <w:style w:type="paragraph" w:customStyle="1" w:styleId="ListNote">
    <w:name w:val="List Note"/>
    <w:basedOn w:val="List"/>
    <w:rsid w:val="001C3A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A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A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AE5"/>
    <w:rPr>
      <w:rFonts w:ascii="Courier New" w:hAnsi="Courier New"/>
    </w:rPr>
  </w:style>
  <w:style w:type="paragraph" w:customStyle="1" w:styleId="NoteBullet">
    <w:name w:val="Note Bullet"/>
    <w:basedOn w:val="Note"/>
    <w:rsid w:val="001C3A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A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A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A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A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3A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A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3AE5"/>
    <w:rPr>
      <w:b/>
      <w:smallCaps/>
    </w:rPr>
  </w:style>
  <w:style w:type="paragraph" w:customStyle="1" w:styleId="TableListNumber">
    <w:name w:val="Table List Number"/>
    <w:basedOn w:val="ListNumber"/>
    <w:rsid w:val="001C3A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A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AE5"/>
    <w:pPr>
      <w:numPr>
        <w:numId w:val="9"/>
      </w:numPr>
    </w:pPr>
  </w:style>
  <w:style w:type="paragraph" w:customStyle="1" w:styleId="ListAlpha2">
    <w:name w:val="List Alpha 2"/>
    <w:basedOn w:val="List2"/>
    <w:rsid w:val="001C3AE5"/>
    <w:pPr>
      <w:numPr>
        <w:numId w:val="8"/>
      </w:numPr>
    </w:pPr>
  </w:style>
  <w:style w:type="paragraph" w:styleId="List2">
    <w:name w:val="List 2"/>
    <w:basedOn w:val="BodyText"/>
    <w:rsid w:val="001C3A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3A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A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A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3A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3A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3AE5"/>
    <w:pPr>
      <w:numPr>
        <w:numId w:val="4"/>
      </w:numPr>
    </w:pPr>
  </w:style>
  <w:style w:type="paragraph" w:styleId="ListContinue2">
    <w:name w:val="List Continue 2"/>
    <w:basedOn w:val="List2"/>
    <w:rsid w:val="001C3AE5"/>
    <w:pPr>
      <w:ind w:firstLine="0"/>
    </w:pPr>
  </w:style>
  <w:style w:type="paragraph" w:styleId="ListContinue3">
    <w:name w:val="List Continue 3"/>
    <w:basedOn w:val="List3"/>
    <w:rsid w:val="001C3AE5"/>
    <w:pPr>
      <w:ind w:left="1021" w:firstLine="0"/>
    </w:pPr>
  </w:style>
  <w:style w:type="paragraph" w:styleId="ListContinue4">
    <w:name w:val="List Continue 4"/>
    <w:basedOn w:val="List4"/>
    <w:rsid w:val="001C3AE5"/>
    <w:pPr>
      <w:ind w:firstLine="0"/>
    </w:pPr>
  </w:style>
  <w:style w:type="paragraph" w:styleId="ListContinue5">
    <w:name w:val="List Continue 5"/>
    <w:basedOn w:val="List5"/>
    <w:rsid w:val="001C3AE5"/>
    <w:pPr>
      <w:ind w:firstLine="0"/>
    </w:pPr>
  </w:style>
  <w:style w:type="paragraph" w:styleId="ListNumber3">
    <w:name w:val="List Number 3"/>
    <w:basedOn w:val="List3"/>
    <w:rsid w:val="001C3AE5"/>
    <w:pPr>
      <w:numPr>
        <w:numId w:val="5"/>
      </w:numPr>
    </w:pPr>
  </w:style>
  <w:style w:type="paragraph" w:styleId="ListNumber4">
    <w:name w:val="List Number 4"/>
    <w:basedOn w:val="List4"/>
    <w:rsid w:val="001C3AE5"/>
    <w:pPr>
      <w:numPr>
        <w:numId w:val="6"/>
      </w:numPr>
    </w:pPr>
  </w:style>
  <w:style w:type="paragraph" w:styleId="ListNumber5">
    <w:name w:val="List Number 5"/>
    <w:basedOn w:val="List5"/>
    <w:rsid w:val="001C3AE5"/>
    <w:pPr>
      <w:numPr>
        <w:numId w:val="7"/>
      </w:numPr>
    </w:pPr>
  </w:style>
  <w:style w:type="paragraph" w:styleId="BlockText">
    <w:name w:val="Block Text"/>
    <w:basedOn w:val="Normal"/>
    <w:rsid w:val="001C3A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A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AE5"/>
    <w:rPr>
      <w:sz w:val="16"/>
      <w:vertAlign w:val="superscript"/>
    </w:rPr>
  </w:style>
  <w:style w:type="character" w:customStyle="1" w:styleId="Symbols">
    <w:name w:val="Symbols"/>
    <w:basedOn w:val="DefaultParagraphFont"/>
    <w:rsid w:val="001C3AE5"/>
    <w:rPr>
      <w:rFonts w:ascii="Symbol" w:hAnsi="Symbol"/>
    </w:rPr>
  </w:style>
  <w:style w:type="character" w:customStyle="1" w:styleId="MenuOptions">
    <w:name w:val="Menu Options"/>
    <w:basedOn w:val="DefaultParagraphFont"/>
    <w:rsid w:val="001C3A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AE5"/>
    <w:rPr>
      <w:b/>
    </w:rPr>
  </w:style>
  <w:style w:type="character" w:customStyle="1" w:styleId="Underlined">
    <w:name w:val="Underlined"/>
    <w:basedOn w:val="DefaultParagraphFont"/>
    <w:rsid w:val="001C3AE5"/>
    <w:rPr>
      <w:u w:val="single"/>
    </w:rPr>
  </w:style>
  <w:style w:type="paragraph" w:customStyle="1" w:styleId="TableBodyTextRight">
    <w:name w:val="Table Body Text Right"/>
    <w:basedOn w:val="TableBodyText"/>
    <w:rsid w:val="001C3A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AE5"/>
    <w:rPr>
      <w:sz w:val="18"/>
    </w:rPr>
  </w:style>
  <w:style w:type="paragraph" w:customStyle="1" w:styleId="BodySmallRight">
    <w:name w:val="Body Small Right"/>
    <w:basedOn w:val="BodyTextRight"/>
    <w:rsid w:val="001C3AE5"/>
    <w:rPr>
      <w:sz w:val="18"/>
      <w:szCs w:val="18"/>
    </w:rPr>
  </w:style>
  <w:style w:type="paragraph" w:customStyle="1" w:styleId="MarginEdition">
    <w:name w:val="Margin Edition"/>
    <w:basedOn w:val="MarginNote"/>
    <w:rsid w:val="001C3A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AE5"/>
    <w:rPr>
      <w:sz w:val="2"/>
      <w:szCs w:val="2"/>
    </w:rPr>
  </w:style>
  <w:style w:type="character" w:customStyle="1" w:styleId="Small">
    <w:name w:val="Small"/>
    <w:basedOn w:val="DefaultParagraphFont"/>
    <w:rsid w:val="001C3AE5"/>
    <w:rPr>
      <w:sz w:val="16"/>
    </w:rPr>
  </w:style>
  <w:style w:type="paragraph" w:customStyle="1" w:styleId="WideTable">
    <w:name w:val="Wide Table"/>
    <w:basedOn w:val="Normal"/>
    <w:rsid w:val="001C3A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AE5"/>
  </w:style>
  <w:style w:type="paragraph" w:styleId="Quote">
    <w:name w:val="Quote"/>
    <w:basedOn w:val="Heading1"/>
    <w:link w:val="QuoteChar"/>
    <w:qFormat/>
    <w:rsid w:val="001C3A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A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AE5"/>
    <w:pPr>
      <w:pageBreakBefore/>
    </w:pPr>
  </w:style>
  <w:style w:type="paragraph" w:customStyle="1" w:styleId="Border">
    <w:name w:val="Border"/>
    <w:basedOn w:val="Normal"/>
    <w:qFormat/>
    <w:rsid w:val="001C3A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A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A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A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3A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A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A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A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A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AE5"/>
    <w:rPr>
      <w:u w:val="single"/>
    </w:rPr>
  </w:style>
  <w:style w:type="character" w:customStyle="1" w:styleId="BoldandItalics">
    <w:name w:val="Bold and Italics"/>
    <w:qFormat/>
    <w:rsid w:val="001C3AE5"/>
    <w:rPr>
      <w:b/>
      <w:i/>
      <w:u w:val="none"/>
    </w:rPr>
  </w:style>
  <w:style w:type="paragraph" w:styleId="BalloonText">
    <w:name w:val="Balloon Text"/>
    <w:basedOn w:val="Normal"/>
    <w:link w:val="BalloonTextChar"/>
    <w:rsid w:val="001C3A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A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3A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A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3A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3A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3AE5"/>
    <w:pPr>
      <w:spacing w:before="0" w:after="0"/>
    </w:pPr>
  </w:style>
  <w:style w:type="paragraph" w:customStyle="1" w:styleId="BodyTextBold">
    <w:name w:val="Body Text Bold"/>
    <w:basedOn w:val="BodyText"/>
    <w:qFormat/>
    <w:rsid w:val="001C3AE5"/>
    <w:rPr>
      <w:b/>
    </w:rPr>
  </w:style>
  <w:style w:type="character" w:styleId="Hyperlink">
    <w:name w:val="Hyperlink"/>
    <w:basedOn w:val="DefaultParagraphFont"/>
    <w:uiPriority w:val="99"/>
    <w:unhideWhenUsed/>
    <w:rsid w:val="00FD44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1000</Words>
  <Characters>6932</Characters>
  <Application>Microsoft Office Word</Application>
  <DocSecurity>0</DocSecurity>
  <Lines>277</Lines>
  <Paragraphs>165</Paragraphs>
  <ScaleCrop>false</ScaleCrop>
  <Company>Author-it Software Corporation Ltd.</Company>
  <LinksUpToDate>false</LinksUpToDate>
  <CharactersWithSpaces>7767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CPPDSM6002 Conduct property investment feasibility study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2025-03-01T10:34:00Z</dcterms:created>
  <dcterms:modified xsi:type="dcterms:W3CDTF">2025-03-01T10:34:00Z</dcterms:modified>
</cp:coreProperties>
</file>