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2C2" w:rsidP="009602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CPPDSM6002 Conduct property investment feasibility study</w:t>
      </w:r>
      <w:r>
        <w:fldChar w:fldCharType="end"/>
      </w:r>
    </w:p>
    <w:p w:rsidR="009602C2" w:rsidP="009602C2">
      <w:pPr>
        <w:pStyle w:val="Version"/>
        <w:sectPr w:rsidSect="00DB29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969" w:rsidP="00DB2969">
      <w:pPr>
        <w:pStyle w:val="SuperHeading"/>
      </w:pPr>
      <w:r w:rsidRPr="00DB2969">
        <w:t>Assessment Requirements for CPPDSM6002 Conduct property investment feasibility study</w:t>
      </w:r>
    </w:p>
    <w:p w:rsidR="00000000" w:rsidRPr="00DB2969" w:rsidP="00DB2969">
      <w:pPr>
        <w:pStyle w:val="Heading1"/>
      </w:pPr>
      <w:bookmarkStart w:id="1" w:name="O_1196869"/>
      <w:bookmarkEnd w:id="1"/>
      <w:r w:rsidRPr="00DB29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DB2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969">
            <w:pPr>
              <w:pStyle w:val="BodyText"/>
              <w:rPr>
                <w:lang w:val="en-NZ"/>
              </w:rPr>
            </w:pPr>
            <w:r w:rsidRPr="00DB29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969" w:rsidP="00DB2969">
            <w:pPr>
              <w:pStyle w:val="BodyText"/>
            </w:pPr>
            <w:r w:rsidRPr="00DB2969">
              <w:t>This version first released with CPP Property Services Training Package Release 15.0.</w:t>
            </w:r>
          </w:p>
          <w:p w:rsidR="00000000" w:rsidRPr="00DB2969" w:rsidP="00DB2969">
            <w:pPr>
              <w:pStyle w:val="BodyText"/>
            </w:pPr>
            <w:r w:rsidRPr="00DB2969">
              <w:t xml:space="preserve">Supersedes and is equivalent to CPPDSM6002A Conduct a property investment feasibility study. Minor change to unit title.  Unit updated to meet the Standards for Training Packages 2012. </w:t>
            </w:r>
          </w:p>
        </w:tc>
      </w:tr>
    </w:tbl>
    <w:p w:rsidR="00000000" w:rsidRPr="00DB2969" w:rsidP="00DB2969">
      <w:pPr>
        <w:pStyle w:val="BodyText"/>
      </w:pPr>
    </w:p>
    <w:p w:rsidR="00000000" w:rsidRPr="00DB2969" w:rsidP="00DB2969">
      <w:pPr>
        <w:pStyle w:val="AllowPageBreak"/>
      </w:pPr>
    </w:p>
    <w:p w:rsidR="00000000" w:rsidRPr="00DB2969" w:rsidP="00DB2969">
      <w:pPr>
        <w:pStyle w:val="Heading1"/>
      </w:pPr>
      <w:bookmarkStart w:id="2" w:name="O_1196872"/>
      <w:bookmarkEnd w:id="2"/>
      <w:r w:rsidRPr="00DB2969">
        <w:t>Performance Evidence</w:t>
      </w:r>
    </w:p>
    <w:p w:rsidR="00000000" w:rsidRPr="00DB2969" w:rsidP="009602C2">
      <w:pPr>
        <w:pStyle w:val="BodyText"/>
      </w:pPr>
      <w:r w:rsidRPr="00DB2969">
        <w:t>To demonstrate competency, a</w:t>
      </w:r>
      <w:r w:rsidRPr="00DB2969">
        <w:t xml:space="preserve"> candidate must meet the elements and performance criteria of this unit by conducting two property investment feasibility studies.</w:t>
      </w:r>
    </w:p>
    <w:p w:rsidR="00000000" w:rsidRPr="00DB2969" w:rsidP="00DB2969">
      <w:pPr>
        <w:pStyle w:val="Heading1"/>
      </w:pPr>
      <w:bookmarkStart w:id="3" w:name="O_1196871"/>
      <w:bookmarkEnd w:id="3"/>
      <w:r w:rsidRPr="00DB2969">
        <w:t>Knowledge Evidence</w:t>
      </w:r>
    </w:p>
    <w:p w:rsidR="00000000" w:rsidRPr="00DB2969" w:rsidP="009602C2">
      <w:pPr>
        <w:pStyle w:val="BodyText"/>
      </w:pPr>
      <w:r w:rsidRPr="00DB2969">
        <w:t>To be competent in this unit, a candidate must demonstrate knowledge of:</w:t>
      </w:r>
    </w:p>
    <w:p w:rsidR="00000000" w:rsidRPr="00DB2969" w:rsidP="00DB2969">
      <w:pPr>
        <w:pStyle w:val="ListBullet"/>
      </w:pPr>
      <w:r w:rsidRPr="00DB2969">
        <w:t>alternative p</w:t>
      </w:r>
      <w:r w:rsidRPr="00DB2969">
        <w:t>roperty uses</w:t>
      </w:r>
    </w:p>
    <w:p w:rsidR="00000000" w:rsidRPr="00DB2969" w:rsidP="00DB2969">
      <w:pPr>
        <w:pStyle w:val="ListBullet"/>
      </w:pPr>
      <w:r w:rsidRPr="00DB2969">
        <w:t>analysis methods and techniques:</w:t>
      </w:r>
    </w:p>
    <w:p w:rsidR="00000000" w:rsidRPr="00DB2969" w:rsidP="00DB2969">
      <w:pPr>
        <w:pStyle w:val="ListBullet2"/>
      </w:pPr>
      <w:r w:rsidRPr="00DB2969">
        <w:t>computer modelling</w:t>
      </w:r>
    </w:p>
    <w:p w:rsidR="00000000" w:rsidRPr="00DB2969" w:rsidP="00DB2969">
      <w:pPr>
        <w:pStyle w:val="ListBullet2"/>
      </w:pPr>
      <w:r w:rsidRPr="00DB2969">
        <w:t>examination of cash flows and other financial projections</w:t>
      </w:r>
    </w:p>
    <w:p w:rsidR="00000000" w:rsidRPr="00DB2969" w:rsidP="00DB2969">
      <w:pPr>
        <w:pStyle w:val="ListBullet2"/>
      </w:pPr>
      <w:r w:rsidRPr="00DB2969">
        <w:t>examination of collected data</w:t>
      </w:r>
    </w:p>
    <w:p w:rsidR="00000000" w:rsidRPr="00DB2969" w:rsidP="00DB2969">
      <w:pPr>
        <w:pStyle w:val="ListBullet2"/>
      </w:pPr>
      <w:r w:rsidRPr="00DB2969">
        <w:t>quantitative and qualitative analysis</w:t>
      </w:r>
    </w:p>
    <w:p w:rsidR="00000000" w:rsidRPr="00DB2969" w:rsidP="00DB2969">
      <w:pPr>
        <w:pStyle w:val="ListBullet2"/>
      </w:pPr>
      <w:r w:rsidRPr="00DB2969">
        <w:t>probability analysis</w:t>
      </w:r>
    </w:p>
    <w:p w:rsidR="00000000" w:rsidRPr="00DB2969" w:rsidP="00DB2969">
      <w:pPr>
        <w:pStyle w:val="ListBullet2"/>
      </w:pPr>
      <w:r w:rsidRPr="00DB2969">
        <w:t>time series recognition</w:t>
      </w:r>
    </w:p>
    <w:p w:rsidR="00000000" w:rsidRPr="00DB2969" w:rsidP="00DB2969">
      <w:pPr>
        <w:pStyle w:val="ListBullet"/>
      </w:pPr>
      <w:r w:rsidRPr="00DB2969">
        <w:t>compliance requirements of legislation, regulations, codes and standards relevant to conducting property investment feasibility studies:</w:t>
      </w:r>
    </w:p>
    <w:p w:rsidR="00000000" w:rsidRPr="00DB2969" w:rsidP="00DB2969">
      <w:pPr>
        <w:pStyle w:val="ListBullet2"/>
      </w:pPr>
      <w:r w:rsidRPr="00DB2969">
        <w:t>anti-discrimination</w:t>
      </w:r>
    </w:p>
    <w:p w:rsidR="00000000" w:rsidRPr="00DB2969" w:rsidP="00DB2969">
      <w:pPr>
        <w:pStyle w:val="ListBullet2"/>
      </w:pPr>
      <w:r w:rsidRPr="00DB2969">
        <w:t>building control legislation</w:t>
      </w:r>
    </w:p>
    <w:p w:rsidR="00000000" w:rsidRPr="00DB2969" w:rsidP="00DB2969">
      <w:pPr>
        <w:pStyle w:val="ListBullet2"/>
      </w:pPr>
      <w:r w:rsidRPr="00DB2969">
        <w:t>consumer protection</w:t>
      </w:r>
    </w:p>
    <w:p w:rsidR="00000000" w:rsidRPr="00DB2969" w:rsidP="00DB2969">
      <w:pPr>
        <w:pStyle w:val="ListBullet2"/>
      </w:pPr>
      <w:r w:rsidRPr="00DB2969">
        <w:t>environmental protection</w:t>
      </w:r>
    </w:p>
    <w:p w:rsidR="00000000" w:rsidRPr="00DB2969" w:rsidP="00DB2969">
      <w:pPr>
        <w:pStyle w:val="ListBullet2"/>
      </w:pPr>
      <w:r w:rsidRPr="00DB2969">
        <w:t>financial probity</w:t>
      </w:r>
    </w:p>
    <w:p w:rsidR="00000000" w:rsidRPr="00DB2969" w:rsidP="00DB2969">
      <w:pPr>
        <w:pStyle w:val="ListBullet2"/>
      </w:pPr>
      <w:r w:rsidRPr="00DB2969">
        <w:t>franchise and business structures</w:t>
      </w:r>
    </w:p>
    <w:p w:rsidR="00000000" w:rsidRPr="00DB2969" w:rsidP="00DB2969">
      <w:pPr>
        <w:pStyle w:val="ListBullet2"/>
      </w:pPr>
      <w:r w:rsidRPr="00DB2969">
        <w:t>National Construction Code (NCC) and relevant Australian Standards</w:t>
      </w:r>
    </w:p>
    <w:p w:rsidR="00000000" w:rsidRPr="00DB2969" w:rsidP="00DB2969">
      <w:pPr>
        <w:pStyle w:val="ListBullet2"/>
      </w:pPr>
      <w:r w:rsidRPr="00DB2969">
        <w:t>privacy</w:t>
      </w:r>
    </w:p>
    <w:p w:rsidR="00000000" w:rsidRPr="00DB2969" w:rsidP="00DB2969">
      <w:pPr>
        <w:pStyle w:val="ListBullet2"/>
      </w:pPr>
      <w:r w:rsidRPr="00DB2969">
        <w:t>property sales, leasing and management</w:t>
      </w:r>
    </w:p>
    <w:p w:rsidR="00000000" w:rsidRPr="00DB2969" w:rsidP="00DB2969">
      <w:pPr>
        <w:pStyle w:val="ListBullet2"/>
      </w:pPr>
      <w:r w:rsidRPr="00DB2969">
        <w:t>work health and safety (WHS)</w:t>
      </w:r>
    </w:p>
    <w:p w:rsidR="00000000" w:rsidRPr="00DB2969" w:rsidP="00DB2969">
      <w:pPr>
        <w:pStyle w:val="ListBullet"/>
      </w:pPr>
      <w:r w:rsidRPr="00DB2969">
        <w:t>factors that might increase or diminish property investment risk:</w:t>
      </w:r>
    </w:p>
    <w:p w:rsidR="00000000" w:rsidRPr="00DB2969" w:rsidP="00DB2969">
      <w:pPr>
        <w:pStyle w:val="ListBullet2"/>
      </w:pPr>
      <w:r w:rsidRPr="00DB2969">
        <w:t>constraints</w:t>
      </w:r>
      <w:r w:rsidRPr="00DB2969">
        <w:t xml:space="preserve"> on use</w:t>
      </w:r>
    </w:p>
    <w:p w:rsidR="00000000" w:rsidRPr="00DB2969" w:rsidP="00DB2969">
      <w:pPr>
        <w:pStyle w:val="ListBullet2"/>
      </w:pPr>
      <w:r w:rsidRPr="00DB2969">
        <w:t>existing land use and ownership</w:t>
      </w:r>
    </w:p>
    <w:p w:rsidR="00000000" w:rsidRPr="00DB2969" w:rsidP="00DB2969">
      <w:pPr>
        <w:pStyle w:val="ListBullet2"/>
      </w:pPr>
      <w:r w:rsidRPr="00DB2969">
        <w:t>government zoning and restrictions</w:t>
      </w:r>
    </w:p>
    <w:p w:rsidR="00000000" w:rsidRPr="00DB2969" w:rsidP="00DB2969">
      <w:pPr>
        <w:pStyle w:val="ListBullet2"/>
      </w:pPr>
      <w:r w:rsidRPr="00DB2969">
        <w:t>project financing</w:t>
      </w:r>
    </w:p>
    <w:p w:rsidR="00000000" w:rsidRPr="00DB2969" w:rsidP="00DB2969">
      <w:pPr>
        <w:pStyle w:val="ListBullet2"/>
      </w:pPr>
      <w:r w:rsidRPr="00DB2969">
        <w:t>staging of investment or development</w:t>
      </w:r>
    </w:p>
    <w:p w:rsidR="00000000" w:rsidRPr="00DB2969" w:rsidP="00DB2969">
      <w:pPr>
        <w:pStyle w:val="ListBullet2"/>
      </w:pPr>
      <w:r w:rsidRPr="00DB2969">
        <w:t>structure of leases</w:t>
      </w:r>
    </w:p>
    <w:p w:rsidR="00000000" w:rsidRPr="00DB2969" w:rsidP="00DB2969">
      <w:pPr>
        <w:pStyle w:val="ListBullet2"/>
      </w:pPr>
      <w:r w:rsidRPr="00DB2969">
        <w:t>type and number of tenants</w:t>
      </w:r>
    </w:p>
    <w:p w:rsidR="00000000" w:rsidRPr="00DB2969" w:rsidP="00DB2969">
      <w:pPr>
        <w:pStyle w:val="ListBullet"/>
      </w:pPr>
      <w:r w:rsidRPr="00DB2969">
        <w:t>project assessment methods</w:t>
      </w:r>
    </w:p>
    <w:p w:rsidR="00000000" w:rsidRPr="00DB2969" w:rsidP="00DB2969">
      <w:pPr>
        <w:pStyle w:val="ListBullet"/>
      </w:pPr>
      <w:r w:rsidRPr="00DB2969">
        <w:t>risks associated with property investment:</w:t>
      </w:r>
    </w:p>
    <w:p w:rsidR="00000000" w:rsidRPr="00DB2969" w:rsidP="00DB2969">
      <w:pPr>
        <w:pStyle w:val="ListBullet2"/>
      </w:pPr>
      <w:r w:rsidRPr="00DB2969">
        <w:t>asset allocation and investment spread</w:t>
      </w:r>
    </w:p>
    <w:p w:rsidR="00000000" w:rsidRPr="00DB2969" w:rsidP="00DB2969">
      <w:pPr>
        <w:pStyle w:val="ListBullet2"/>
      </w:pPr>
      <w:r w:rsidRPr="00DB2969">
        <w:t>borrowing</w:t>
      </w:r>
    </w:p>
    <w:p w:rsidR="00000000" w:rsidRPr="00DB2969" w:rsidP="00DB2969">
      <w:pPr>
        <w:pStyle w:val="ListBullet2"/>
      </w:pPr>
      <w:r w:rsidRPr="00DB2969">
        <w:t>gearing</w:t>
      </w:r>
    </w:p>
    <w:p w:rsidR="00000000" w:rsidRPr="00DB2969" w:rsidP="00DB2969">
      <w:pPr>
        <w:pStyle w:val="ListBullet2"/>
      </w:pPr>
      <w:r w:rsidRPr="00DB2969">
        <w:t>economics</w:t>
      </w:r>
    </w:p>
    <w:p w:rsidR="00000000" w:rsidRPr="00DB2969" w:rsidP="00DB2969">
      <w:pPr>
        <w:pStyle w:val="ListBullet2"/>
      </w:pPr>
      <w:r w:rsidRPr="00DB2969">
        <w:t>lifestyle choices</w:t>
      </w:r>
    </w:p>
    <w:p w:rsidR="00000000" w:rsidRPr="00DB2969" w:rsidP="00DB2969">
      <w:pPr>
        <w:pStyle w:val="ListBullet2"/>
      </w:pPr>
      <w:r w:rsidRPr="00DB2969">
        <w:t>market and property sector risks: fluctuations in the economic cycle, interest rates and stock market</w:t>
      </w:r>
    </w:p>
    <w:p w:rsidR="00000000" w:rsidRPr="00DB2969" w:rsidP="00DB2969">
      <w:pPr>
        <w:pStyle w:val="ListBullet2"/>
      </w:pPr>
      <w:r w:rsidRPr="00DB2969">
        <w:t>client return expectations</w:t>
      </w:r>
    </w:p>
    <w:p w:rsidR="00000000" w:rsidRPr="00DB2969" w:rsidP="00DB2969">
      <w:pPr>
        <w:pStyle w:val="ListBullet2"/>
      </w:pPr>
      <w:r w:rsidRPr="00DB2969">
        <w:t>volatility of income and capital</w:t>
      </w:r>
    </w:p>
    <w:p w:rsidR="00000000" w:rsidRPr="00DB2969" w:rsidP="00DB2969">
      <w:pPr>
        <w:pStyle w:val="ListBullet"/>
      </w:pPr>
      <w:r w:rsidRPr="00DB2969">
        <w:t xml:space="preserve">sources </w:t>
      </w:r>
      <w:r w:rsidRPr="00DB2969">
        <w:t>of industry and market information related to property investment</w:t>
      </w:r>
    </w:p>
    <w:p w:rsidR="00000000" w:rsidRPr="00DB2969" w:rsidP="00DB2969">
      <w:pPr>
        <w:pStyle w:val="ListBullet"/>
      </w:pPr>
      <w:r w:rsidRPr="00DB2969">
        <w:t>types of property markets</w:t>
      </w:r>
    </w:p>
    <w:p w:rsidR="00000000" w:rsidRPr="00DB2969" w:rsidP="00DB2969">
      <w:pPr>
        <w:pStyle w:val="ListBullet"/>
      </w:pPr>
      <w:r w:rsidRPr="00DB2969">
        <w:t>value management associated with property investment</w:t>
      </w:r>
    </w:p>
    <w:p w:rsidR="00000000" w:rsidRPr="00DB2969" w:rsidP="00DB2969">
      <w:pPr>
        <w:pStyle w:val="ListBullet"/>
      </w:pPr>
      <w:r w:rsidRPr="00DB2969">
        <w:t>workplace requirements for conducting property investment feasibility studies:</w:t>
      </w:r>
    </w:p>
    <w:p w:rsidR="00000000" w:rsidRPr="00DB2969" w:rsidP="00DB2969">
      <w:pPr>
        <w:pStyle w:val="ListBullet2"/>
      </w:pPr>
      <w:r w:rsidRPr="00DB2969">
        <w:t>client service</w:t>
      </w:r>
    </w:p>
    <w:p w:rsidR="00000000" w:rsidRPr="00DB2969" w:rsidP="00DB2969">
      <w:pPr>
        <w:pStyle w:val="ListBullet2"/>
      </w:pPr>
      <w:r w:rsidRPr="00DB2969">
        <w:t>documentation and reporting</w:t>
      </w:r>
    </w:p>
    <w:p w:rsidR="00000000" w:rsidRPr="00DB2969" w:rsidP="00DB2969">
      <w:pPr>
        <w:pStyle w:val="ListBullet2"/>
      </w:pPr>
      <w:r w:rsidRPr="00DB2969">
        <w:t>work role boundaries - responsibilities, limitations and professional abilities.</w:t>
      </w:r>
    </w:p>
    <w:p w:rsidR="00000000" w:rsidRPr="00DB2969" w:rsidP="00DB2969">
      <w:pPr>
        <w:pStyle w:val="AllowPageBreak"/>
      </w:pPr>
    </w:p>
    <w:p w:rsidR="00000000" w:rsidRPr="00DB2969" w:rsidP="00DB2969">
      <w:pPr>
        <w:pStyle w:val="Heading1"/>
      </w:pPr>
      <w:bookmarkStart w:id="4" w:name="O_1196870"/>
      <w:bookmarkEnd w:id="4"/>
      <w:r w:rsidRPr="00DB2969">
        <w:t>Assessment Conditions</w:t>
      </w:r>
    </w:p>
    <w:p w:rsidR="00000000" w:rsidRPr="00DB2969" w:rsidP="009602C2">
      <w:pPr>
        <w:pStyle w:val="BodyText"/>
      </w:pPr>
      <w:r w:rsidRPr="00DB2969">
        <w:t>Assessors must meet the requirements for assessors contained in the Standards for Registered Training Orga</w:t>
      </w:r>
      <w:r w:rsidRPr="00DB2969">
        <w:t xml:space="preserve">nisations. </w:t>
      </w:r>
    </w:p>
    <w:p w:rsidR="00000000" w:rsidRPr="00DB2969" w:rsidP="009602C2">
      <w:pPr>
        <w:pStyle w:val="BodyText"/>
      </w:pPr>
      <w:r w:rsidRPr="00DB2969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DB2969" w:rsidP="009602C2">
      <w:pPr>
        <w:pStyle w:val="BodyText"/>
      </w:pPr>
      <w:r w:rsidRPr="00DB2969">
        <w:t>Candidates must have access to documen</w:t>
      </w:r>
      <w:r w:rsidRPr="00DB2969">
        <w:t>tation, information and technologies required to achieve the performance criteria and performance evidence.</w:t>
      </w:r>
    </w:p>
    <w:p w:rsidR="00000000" w:rsidRPr="00DB2969" w:rsidP="00DB2969">
      <w:pPr>
        <w:pStyle w:val="Heading1"/>
      </w:pPr>
      <w:bookmarkStart w:id="5" w:name="O_1196868"/>
      <w:bookmarkEnd w:id="5"/>
      <w:r w:rsidRPr="00DB2969">
        <w:t>Links</w:t>
      </w:r>
    </w:p>
    <w:p w:rsidR="00000000" w:rsidRPr="00DB2969" w:rsidP="009602C2">
      <w:pPr>
        <w:pStyle w:val="BodyText"/>
      </w:pPr>
      <w:r w:rsidRPr="00DB296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90C5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B2969" w:rsidP="00DB2969"/>
    <w:sectPr w:rsidSect="00DB29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69" w:rsidRPr="009602C2" w:rsidP="009602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C2" w:rsidP="00DB2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2C2" w:rsidP="00DB2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602C2" w:rsidP="00DB29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969" w:rsidRPr="009602C2" w:rsidP="009602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C2" w:rsidRPr="002D2AF8" w:rsidP="00DB2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CPPDSM6002 Conduct property investment feasibility study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602C2" w:rsidP="00DB29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548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74B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2046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9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9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9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9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9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9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9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9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9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9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9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969"/>
  </w:style>
  <w:style w:type="character" w:customStyle="1" w:styleId="Heading1Char">
    <w:name w:val="Heading 1 Char"/>
    <w:basedOn w:val="DefaultParagraphFont"/>
    <w:link w:val="Heading1"/>
    <w:rsid w:val="00DB29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9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9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29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29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29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9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9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9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9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9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9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9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9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9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9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9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9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9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9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9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9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29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2969"/>
    <w:rPr>
      <w:b/>
      <w:spacing w:val="0"/>
    </w:rPr>
  </w:style>
  <w:style w:type="paragraph" w:customStyle="1" w:styleId="SuperTitle">
    <w:name w:val="SuperTitle"/>
    <w:basedOn w:val="Title"/>
    <w:rsid w:val="00DB29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9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9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29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9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9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9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9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9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9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9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9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2969"/>
    <w:rPr>
      <w:i/>
    </w:rPr>
  </w:style>
  <w:style w:type="paragraph" w:styleId="Caption">
    <w:name w:val="caption"/>
    <w:basedOn w:val="BodyText"/>
    <w:next w:val="Normal"/>
    <w:qFormat/>
    <w:rsid w:val="00DB29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9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9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969"/>
  </w:style>
  <w:style w:type="paragraph" w:styleId="TableofFigures">
    <w:name w:val="table of figures"/>
    <w:basedOn w:val="Normal"/>
    <w:next w:val="Normal"/>
    <w:semiHidden/>
    <w:rsid w:val="00DB29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9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2969"/>
    <w:rPr>
      <w:rFonts w:ascii="Wingdings" w:hAnsi="Wingdings"/>
    </w:rPr>
  </w:style>
  <w:style w:type="paragraph" w:customStyle="1" w:styleId="TableHeading">
    <w:name w:val="Table Heading"/>
    <w:basedOn w:val="HeadingBase"/>
    <w:rsid w:val="00DB29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969"/>
    <w:rPr>
      <w:color w:val="0033CC"/>
      <w:u w:val="none"/>
    </w:rPr>
  </w:style>
  <w:style w:type="paragraph" w:customStyle="1" w:styleId="BodyTextRight">
    <w:name w:val="Body Text Right"/>
    <w:basedOn w:val="BodyText"/>
    <w:rsid w:val="00DB29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9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9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9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9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9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969"/>
    <w:rPr>
      <w:sz w:val="32"/>
    </w:rPr>
  </w:style>
  <w:style w:type="paragraph" w:customStyle="1" w:styleId="HeadingProcedure">
    <w:name w:val="Heading Procedure"/>
    <w:basedOn w:val="HeadingBase"/>
    <w:next w:val="Normal"/>
    <w:rsid w:val="00DB29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969"/>
    <w:pPr>
      <w:spacing w:before="60" w:after="60"/>
    </w:pPr>
  </w:style>
  <w:style w:type="paragraph" w:styleId="ListContinue">
    <w:name w:val="List Continue"/>
    <w:basedOn w:val="List"/>
    <w:rsid w:val="00DB2969"/>
    <w:pPr>
      <w:ind w:firstLine="0"/>
    </w:pPr>
  </w:style>
  <w:style w:type="paragraph" w:customStyle="1" w:styleId="ListNote">
    <w:name w:val="List Note"/>
    <w:basedOn w:val="List"/>
    <w:rsid w:val="00DB29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9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9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969"/>
    <w:rPr>
      <w:rFonts w:ascii="Courier New" w:hAnsi="Courier New"/>
    </w:rPr>
  </w:style>
  <w:style w:type="paragraph" w:customStyle="1" w:styleId="NoteBullet">
    <w:name w:val="Note Bullet"/>
    <w:basedOn w:val="Note"/>
    <w:rsid w:val="00DB29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9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9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9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9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29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9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969"/>
    <w:rPr>
      <w:b/>
      <w:smallCaps/>
    </w:rPr>
  </w:style>
  <w:style w:type="paragraph" w:customStyle="1" w:styleId="TableListNumber">
    <w:name w:val="Table List Number"/>
    <w:basedOn w:val="ListNumber"/>
    <w:rsid w:val="00DB29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9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969"/>
    <w:pPr>
      <w:numPr>
        <w:numId w:val="9"/>
      </w:numPr>
    </w:pPr>
  </w:style>
  <w:style w:type="paragraph" w:customStyle="1" w:styleId="ListAlpha2">
    <w:name w:val="List Alpha 2"/>
    <w:basedOn w:val="List2"/>
    <w:rsid w:val="00DB2969"/>
    <w:pPr>
      <w:numPr>
        <w:numId w:val="8"/>
      </w:numPr>
    </w:pPr>
  </w:style>
  <w:style w:type="paragraph" w:styleId="List2">
    <w:name w:val="List 2"/>
    <w:basedOn w:val="BodyText"/>
    <w:rsid w:val="00DB29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9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9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9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9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9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2969"/>
    <w:pPr>
      <w:numPr>
        <w:numId w:val="4"/>
      </w:numPr>
    </w:pPr>
  </w:style>
  <w:style w:type="paragraph" w:styleId="ListContinue2">
    <w:name w:val="List Continue 2"/>
    <w:basedOn w:val="List2"/>
    <w:rsid w:val="00DB2969"/>
    <w:pPr>
      <w:ind w:firstLine="0"/>
    </w:pPr>
  </w:style>
  <w:style w:type="paragraph" w:styleId="ListContinue3">
    <w:name w:val="List Continue 3"/>
    <w:basedOn w:val="List3"/>
    <w:rsid w:val="00DB2969"/>
    <w:pPr>
      <w:ind w:left="1021" w:firstLine="0"/>
    </w:pPr>
  </w:style>
  <w:style w:type="paragraph" w:styleId="ListContinue4">
    <w:name w:val="List Continue 4"/>
    <w:basedOn w:val="List4"/>
    <w:rsid w:val="00DB2969"/>
    <w:pPr>
      <w:ind w:firstLine="0"/>
    </w:pPr>
  </w:style>
  <w:style w:type="paragraph" w:styleId="ListContinue5">
    <w:name w:val="List Continue 5"/>
    <w:basedOn w:val="List5"/>
    <w:rsid w:val="00DB2969"/>
    <w:pPr>
      <w:ind w:firstLine="0"/>
    </w:pPr>
  </w:style>
  <w:style w:type="paragraph" w:styleId="ListNumber3">
    <w:name w:val="List Number 3"/>
    <w:basedOn w:val="List3"/>
    <w:rsid w:val="00DB2969"/>
    <w:pPr>
      <w:numPr>
        <w:numId w:val="5"/>
      </w:numPr>
    </w:pPr>
  </w:style>
  <w:style w:type="paragraph" w:styleId="ListNumber4">
    <w:name w:val="List Number 4"/>
    <w:basedOn w:val="List4"/>
    <w:rsid w:val="00DB2969"/>
    <w:pPr>
      <w:numPr>
        <w:numId w:val="6"/>
      </w:numPr>
    </w:pPr>
  </w:style>
  <w:style w:type="paragraph" w:styleId="ListNumber5">
    <w:name w:val="List Number 5"/>
    <w:basedOn w:val="List5"/>
    <w:rsid w:val="00DB2969"/>
    <w:pPr>
      <w:numPr>
        <w:numId w:val="7"/>
      </w:numPr>
    </w:pPr>
  </w:style>
  <w:style w:type="paragraph" w:styleId="BlockText">
    <w:name w:val="Block Text"/>
    <w:basedOn w:val="Normal"/>
    <w:rsid w:val="00DB29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9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969"/>
    <w:rPr>
      <w:sz w:val="16"/>
      <w:vertAlign w:val="superscript"/>
    </w:rPr>
  </w:style>
  <w:style w:type="character" w:customStyle="1" w:styleId="Symbols">
    <w:name w:val="Symbols"/>
    <w:basedOn w:val="DefaultParagraphFont"/>
    <w:rsid w:val="00DB2969"/>
    <w:rPr>
      <w:rFonts w:ascii="Symbol" w:hAnsi="Symbol"/>
    </w:rPr>
  </w:style>
  <w:style w:type="character" w:customStyle="1" w:styleId="MenuOptions">
    <w:name w:val="Menu Options"/>
    <w:basedOn w:val="DefaultParagraphFont"/>
    <w:rsid w:val="00DB29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969"/>
    <w:rPr>
      <w:b/>
    </w:rPr>
  </w:style>
  <w:style w:type="character" w:customStyle="1" w:styleId="Underlined">
    <w:name w:val="Underlined"/>
    <w:basedOn w:val="DefaultParagraphFont"/>
    <w:rsid w:val="00DB2969"/>
    <w:rPr>
      <w:u w:val="single"/>
    </w:rPr>
  </w:style>
  <w:style w:type="paragraph" w:customStyle="1" w:styleId="TableBodyTextRight">
    <w:name w:val="Table Body Text Right"/>
    <w:basedOn w:val="TableBodyText"/>
    <w:rsid w:val="00DB29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969"/>
    <w:rPr>
      <w:sz w:val="18"/>
    </w:rPr>
  </w:style>
  <w:style w:type="paragraph" w:customStyle="1" w:styleId="BodySmallRight">
    <w:name w:val="Body Small Right"/>
    <w:basedOn w:val="BodyTextRight"/>
    <w:rsid w:val="00DB2969"/>
    <w:rPr>
      <w:sz w:val="18"/>
      <w:szCs w:val="18"/>
    </w:rPr>
  </w:style>
  <w:style w:type="paragraph" w:customStyle="1" w:styleId="MarginEdition">
    <w:name w:val="Margin Edition"/>
    <w:basedOn w:val="MarginNote"/>
    <w:rsid w:val="00DB29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969"/>
    <w:rPr>
      <w:sz w:val="2"/>
      <w:szCs w:val="2"/>
    </w:rPr>
  </w:style>
  <w:style w:type="character" w:customStyle="1" w:styleId="Small">
    <w:name w:val="Small"/>
    <w:basedOn w:val="DefaultParagraphFont"/>
    <w:rsid w:val="00DB2969"/>
    <w:rPr>
      <w:sz w:val="16"/>
    </w:rPr>
  </w:style>
  <w:style w:type="paragraph" w:customStyle="1" w:styleId="WideTable">
    <w:name w:val="Wide Table"/>
    <w:basedOn w:val="Normal"/>
    <w:rsid w:val="00DB29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969"/>
  </w:style>
  <w:style w:type="paragraph" w:styleId="Quote">
    <w:name w:val="Quote"/>
    <w:basedOn w:val="Heading1"/>
    <w:link w:val="QuoteChar"/>
    <w:qFormat/>
    <w:rsid w:val="00DB29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9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969"/>
    <w:pPr>
      <w:pageBreakBefore/>
    </w:pPr>
  </w:style>
  <w:style w:type="paragraph" w:customStyle="1" w:styleId="Border">
    <w:name w:val="Border"/>
    <w:basedOn w:val="Normal"/>
    <w:qFormat/>
    <w:rsid w:val="00DB29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9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9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9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9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9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9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9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9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969"/>
    <w:rPr>
      <w:u w:val="single"/>
    </w:rPr>
  </w:style>
  <w:style w:type="character" w:customStyle="1" w:styleId="BoldandItalics">
    <w:name w:val="Bold and Italics"/>
    <w:qFormat/>
    <w:rsid w:val="00DB2969"/>
    <w:rPr>
      <w:b/>
      <w:i/>
      <w:u w:val="none"/>
    </w:rPr>
  </w:style>
  <w:style w:type="paragraph" w:styleId="BalloonText">
    <w:name w:val="Balloon Text"/>
    <w:basedOn w:val="Normal"/>
    <w:link w:val="BalloonTextChar"/>
    <w:rsid w:val="00DB2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9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9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9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9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9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969"/>
    <w:pPr>
      <w:spacing w:before="0" w:after="0"/>
    </w:pPr>
  </w:style>
  <w:style w:type="paragraph" w:customStyle="1" w:styleId="BodyTextBold">
    <w:name w:val="Body Text Bold"/>
    <w:basedOn w:val="BodyText"/>
    <w:qFormat/>
    <w:rsid w:val="00DB2969"/>
    <w:rPr>
      <w:b/>
    </w:rPr>
  </w:style>
  <w:style w:type="character" w:styleId="Hyperlink">
    <w:name w:val="Hyperlink"/>
    <w:basedOn w:val="DefaultParagraphFont"/>
    <w:uiPriority w:val="99"/>
    <w:unhideWhenUsed/>
    <w:rsid w:val="009602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387</Words>
  <Characters>2810</Characters>
  <Application>Microsoft Office Word</Application>
  <DocSecurity>0</DocSecurity>
  <Lines>85</Lines>
  <Paragraphs>71</Paragraphs>
  <ScaleCrop>false</ScaleCrop>
  <Company>Author-it Software Corporation Ltd.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CPPDSM6002 Conduct property investment feasibility study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