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7BB" w:rsidP="00D077BB">
      <w:pPr>
        <w:pStyle w:val="Title"/>
      </w:pPr>
      <w:r>
        <w:fldChar w:fldCharType="begin"/>
      </w:r>
      <w:r>
        <w:instrText xml:space="preserve"> TITLE   \* MERGEFORMAT </w:instrText>
      </w:r>
      <w:r>
        <w:fldChar w:fldCharType="separate"/>
      </w:r>
      <w:r>
        <w:t>CPPDSM5007 Coordinate construction or renovation of facilities</w:t>
      </w:r>
      <w:r>
        <w:fldChar w:fldCharType="end"/>
      </w:r>
    </w:p>
    <w:p w:rsidR="00D077BB" w:rsidP="00D077BB">
      <w:pPr>
        <w:pStyle w:val="Version"/>
        <w:sectPr w:rsidSect="003531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115" w:rsidP="00353115">
      <w:pPr>
        <w:pStyle w:val="SuperHeading"/>
      </w:pPr>
      <w:r w:rsidRPr="00353115">
        <w:t>CPPDSM5007 Coordinate construction or renovation of facilities</w:t>
      </w:r>
    </w:p>
    <w:p w:rsidR="00000000" w:rsidRPr="00353115" w:rsidP="00353115">
      <w:pPr>
        <w:pStyle w:val="Heading1"/>
      </w:pPr>
      <w:bookmarkStart w:id="1" w:name="O_866844"/>
      <w:bookmarkEnd w:id="1"/>
      <w:r w:rsidRPr="00353115">
        <w:t>Modification History</w:t>
      </w:r>
    </w:p>
    <w:p w:rsidR="00000000" w:rsidRPr="00353115" w:rsidP="00D077BB">
      <w:pPr>
        <w:pStyle w:val="BodyText"/>
      </w:pPr>
      <w:r w:rsidRPr="00353115">
        <w:t>Release 1.</w:t>
      </w:r>
    </w:p>
    <w:p w:rsidR="00000000" w:rsidRPr="00353115" w:rsidP="00D077BB">
      <w:pPr>
        <w:pStyle w:val="BodyText"/>
      </w:pPr>
      <w:r w:rsidRPr="00353115">
        <w:t>Replaces superseded equivalent CPPDSM5007A Coordinate construction or renovation of facilities.</w:t>
      </w:r>
    </w:p>
    <w:p w:rsidR="00000000" w:rsidRPr="00353115" w:rsidP="00D077BB">
      <w:pPr>
        <w:pStyle w:val="BodyText"/>
      </w:pPr>
      <w:r w:rsidRPr="00353115">
        <w:t>This version first released with CPP Property Services Training Package Version 5.</w:t>
      </w:r>
    </w:p>
    <w:p w:rsidR="00000000" w:rsidRPr="00353115" w:rsidP="00353115">
      <w:pPr>
        <w:pStyle w:val="Heading1"/>
      </w:pPr>
      <w:bookmarkStart w:id="2" w:name="O_866852"/>
      <w:bookmarkEnd w:id="2"/>
      <w:r w:rsidRPr="00353115">
        <w:t>Application</w:t>
      </w:r>
    </w:p>
    <w:p w:rsidR="00000000" w:rsidRPr="00353115" w:rsidP="00D077BB">
      <w:pPr>
        <w:pStyle w:val="BodyText"/>
      </w:pPr>
      <w:r w:rsidRPr="00353115">
        <w:t>This unit of competency specifies the outcomes required to coordinate the construction or renovation of facilities. It requires the ability to u</w:t>
      </w:r>
      <w:r w:rsidRPr="00353115">
        <w:t>se appropriate consultative processes to determine construction or renovation requirements and to develop, monitor and finalise a construction plan.</w:t>
      </w:r>
    </w:p>
    <w:p w:rsidR="00000000" w:rsidRPr="00353115" w:rsidP="00D077BB">
      <w:pPr>
        <w:pStyle w:val="BodyText"/>
      </w:pPr>
      <w:r w:rsidRPr="00353115">
        <w:t>The unit supports the work of those involved in coordinating the construction or renovation of facilities.</w:t>
      </w:r>
      <w:r w:rsidRPr="00353115">
        <w:t xml:space="preserve"> It applies to real estate agents, strata community managers, and stock and station agents.</w:t>
      </w:r>
    </w:p>
    <w:p w:rsidR="00000000" w:rsidRPr="00353115" w:rsidP="00D077BB">
      <w:pPr>
        <w:pStyle w:val="BodyText"/>
      </w:pPr>
      <w:r w:rsidRPr="00353115">
        <w:t>Licensing, legislative, regulatory or certification requirements apply to this unit in some States and Territories. Relevant state and territory regulatory authori</w:t>
      </w:r>
      <w:r w:rsidRPr="00353115">
        <w:t>ties should be consulted to confirm those requirements.</w:t>
      </w:r>
    </w:p>
    <w:p w:rsidR="00000000" w:rsidRPr="00353115" w:rsidP="00353115">
      <w:pPr>
        <w:pStyle w:val="Heading1"/>
      </w:pPr>
      <w:bookmarkStart w:id="3" w:name="O_866851"/>
      <w:bookmarkEnd w:id="3"/>
      <w:r w:rsidRPr="00353115">
        <w:t>Pre-requisite Unit</w:t>
      </w:r>
    </w:p>
    <w:p w:rsidR="00000000" w:rsidRPr="00353115" w:rsidP="00D077BB">
      <w:pPr>
        <w:pStyle w:val="BodyText"/>
      </w:pPr>
      <w:r w:rsidRPr="00353115">
        <w:t>Nil</w:t>
      </w:r>
    </w:p>
    <w:p w:rsidR="00000000" w:rsidRPr="00353115" w:rsidP="00353115">
      <w:pPr>
        <w:pStyle w:val="Heading1"/>
      </w:pPr>
      <w:bookmarkStart w:id="4" w:name="O_866850"/>
      <w:bookmarkEnd w:id="4"/>
      <w:r w:rsidRPr="00353115">
        <w:t>Competency Field</w:t>
      </w:r>
    </w:p>
    <w:p w:rsidR="00000000" w:rsidRPr="00353115" w:rsidP="00D077BB">
      <w:pPr>
        <w:pStyle w:val="BodyText"/>
      </w:pPr>
      <w:r w:rsidRPr="00353115">
        <w:t>Strata community management</w:t>
      </w:r>
    </w:p>
    <w:p w:rsidR="00000000" w:rsidRPr="00353115" w:rsidP="00353115">
      <w:pPr>
        <w:pStyle w:val="Heading1"/>
      </w:pPr>
      <w:bookmarkStart w:id="5" w:name="O_866849"/>
      <w:bookmarkEnd w:id="5"/>
      <w:r w:rsidRPr="00353115">
        <w:t>Unit Sector</w:t>
      </w:r>
    </w:p>
    <w:p w:rsidR="00000000" w:rsidRPr="00353115" w:rsidP="00D077BB">
      <w:pPr>
        <w:pStyle w:val="BodyText"/>
      </w:pPr>
      <w:r w:rsidRPr="00353115">
        <w:t>Property services</w:t>
      </w:r>
    </w:p>
    <w:p w:rsidR="00000000" w:rsidRPr="00353115" w:rsidP="00353115">
      <w:pPr>
        <w:pStyle w:val="Heading1"/>
      </w:pPr>
      <w:bookmarkStart w:id="6" w:name="O_866848"/>
      <w:bookmarkEnd w:id="6"/>
      <w:r w:rsidRPr="00353115">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353115">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Performance criteria describe the performance needed to demonstrate achievement of the element. Where bold italicised text is used, further information is detailed in the range of conditions.</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1.</w:t>
            </w:r>
          </w:p>
        </w:tc>
        <w:tc>
          <w:tcPr>
            <w:tcW w:w="1936" w:type="dxa"/>
            <w:vMerge w:val="restart"/>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Determine construction or renovation requirements.</w:t>
            </w:r>
          </w:p>
        </w:tc>
        <w:tc>
          <w:tcPr>
            <w:tcW w:w="796" w:type="dxa"/>
            <w:tcBorders>
              <w:top w:val="nil"/>
              <w:left w:val="nil"/>
              <w:bottom w:val="nil"/>
              <w:right w:val="nil"/>
            </w:tcBorders>
            <w:tcMar>
              <w:top w:w="0" w:type="dxa"/>
              <w:left w:w="62" w:type="dxa"/>
              <w:bottom w:w="0" w:type="dxa"/>
              <w:right w:w="62" w:type="dxa"/>
            </w:tcMar>
          </w:tcPr>
          <w:p w:rsidR="00000000" w:rsidRPr="00353115" w:rsidP="00353115">
            <w:pPr>
              <w:pStyle w:val="BodyText"/>
            </w:pPr>
            <w:r w:rsidRPr="00353115">
              <w:t>1.1.</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rPr>
                <w:rStyle w:val="BoldandItalics"/>
              </w:rPr>
              <w:t xml:space="preserve">Construction </w:t>
            </w:r>
            <w:r w:rsidRPr="00353115">
              <w:t xml:space="preserve">drawings are reviewed and confirmed with relevant people according to </w:t>
            </w:r>
            <w:r w:rsidRPr="00353115">
              <w:rPr>
                <w:rStyle w:val="BoldandItalics"/>
              </w:rPr>
              <w:t>project</w:t>
            </w:r>
            <w:r w:rsidRPr="00353115">
              <w:t xml:space="preserve"> requirements. </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1.2.</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Consultative processes are used to negotiate and confirm construction requirements wit</w:t>
            </w:r>
            <w:r w:rsidRPr="00353115">
              <w:t>h contracted parties.</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1.3.</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Site access and specific site requirements are identified and appropriate arrangements are made as required.</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1.4.</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Construction plan is prepared, including contingencies to ensure contract and organisational re</w:t>
            </w:r>
            <w:r w:rsidRPr="00353115">
              <w:t>quirements are met.</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2.</w:t>
            </w:r>
          </w:p>
        </w:tc>
        <w:tc>
          <w:tcPr>
            <w:tcW w:w="1936" w:type="dxa"/>
            <w:vMerge w:val="restart"/>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Organise resources and support processes.</w:t>
            </w: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2.1.</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Provision of financial, physical and human resources is planned.</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2.2.</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Construction strateg</w:t>
            </w:r>
            <w:r w:rsidRPr="00353115">
              <w:t>ies, objectives and timelines are negotiated and agreed in consultation with client and relevant people.</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2.3.</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Monitoring and reporting arrangements for construction activities are established and documented.</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2.4.</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Relevant approvals are obtained withi</w:t>
            </w:r>
            <w:r w:rsidRPr="00353115">
              <w:t>n designated timeframe.</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3.</w:t>
            </w:r>
          </w:p>
        </w:tc>
        <w:tc>
          <w:tcPr>
            <w:tcW w:w="1936" w:type="dxa"/>
            <w:vMerge w:val="restart"/>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Arrange contractors and consultants.</w:t>
            </w: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3.1.</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Contractors and consultants are arranged to undertake construction.</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53115" w:rsidP="00353115">
            <w:pPr>
              <w:pStyle w:val="BodyText"/>
            </w:pPr>
            <w:r w:rsidRPr="00353115">
              <w:t>3.2.</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rPr>
                <w:rStyle w:val="BoldandItalics"/>
              </w:rPr>
              <w:t>Tendering and selection methods</w:t>
            </w:r>
            <w:r w:rsidRPr="00353115">
              <w:t xml:space="preserve"> are selected and followed to meet client and organisational procurement guidelines.</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3.3.</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Contracted services are provided that are relevant to the construction work to be undertaken and client requirements.</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3.4.</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Documentation regarding reporting arrangements and deliverables is finalised.</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4.</w:t>
            </w:r>
          </w:p>
        </w:tc>
        <w:tc>
          <w:tcPr>
            <w:tcW w:w="1936" w:type="dxa"/>
            <w:vMerge w:val="restart"/>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 xml:space="preserve">Monitor construction or renovation </w:t>
            </w:r>
            <w:r w:rsidRPr="00353115">
              <w:t>process.</w:t>
            </w: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4.1.</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Construction or renovation is monitored against construction plan to ensure completion within designated timeframes.</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4.2.</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Factors affecting achievement of scheduled work are identified and required variations to schedules are negotiated and agreed with relevant people.</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4.3.</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Established communication channels and processes are used to ensure accurate</w:t>
            </w:r>
            <w:r w:rsidRPr="00353115">
              <w:t xml:space="preserve"> exchange of information throughout operations.</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4.4.</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Situations requiring specialist advice are identified and appropriate support is sought as required.</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5.</w:t>
            </w:r>
          </w:p>
        </w:tc>
        <w:tc>
          <w:tcPr>
            <w:tcW w:w="1936" w:type="dxa"/>
            <w:vMerge w:val="restart"/>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Finalise construction or renovation process.</w:t>
            </w: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5.1.</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Notification of completed construction is rec</w:t>
            </w:r>
            <w:r w:rsidRPr="00353115">
              <w:t>eived and checked against client and organisational requirements.</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5.2.</w:t>
            </w:r>
          </w:p>
        </w:tc>
        <w:tc>
          <w:tcPr>
            <w:tcW w:w="561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Inspection is arranged to confirm facilities are fully operational and meet required specifications and industry standards.</w:t>
            </w:r>
          </w:p>
        </w:tc>
      </w:tr>
      <w:tr w:rsidTr="0035311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5.3.</w:t>
            </w:r>
          </w:p>
        </w:tc>
        <w:tc>
          <w:tcPr>
            <w:tcW w:w="5610" w:type="dxa"/>
            <w:tcBorders>
              <w:top w:val="nil"/>
              <w:left w:val="nil"/>
              <w:bottom w:val="nil"/>
              <w:right w:val="nil"/>
            </w:tcBorders>
            <w:tcMar>
              <w:top w:w="0" w:type="dxa"/>
              <w:left w:w="62" w:type="dxa"/>
              <w:bottom w:w="0" w:type="dxa"/>
              <w:right w:w="62" w:type="dxa"/>
            </w:tcMar>
          </w:tcPr>
          <w:p w:rsidR="00000000" w:rsidRPr="00353115" w:rsidP="00353115">
            <w:pPr>
              <w:pStyle w:val="BodyText"/>
            </w:pPr>
            <w:r w:rsidRPr="00353115">
              <w:t>Information is securely maintained with due regard to client privacy and confidentiality, and legislative and organisational requirements.</w:t>
            </w:r>
          </w:p>
        </w:tc>
      </w:tr>
    </w:tbl>
    <w:p w:rsidR="00000000" w:rsidRPr="00353115" w:rsidP="00353115">
      <w:pPr>
        <w:pStyle w:val="BodyText"/>
      </w:pPr>
    </w:p>
    <w:p w:rsidR="00000000" w:rsidRPr="00353115" w:rsidP="00353115">
      <w:pPr>
        <w:pStyle w:val="AllowPageBreak"/>
      </w:pPr>
    </w:p>
    <w:p w:rsidR="00000000" w:rsidRPr="00353115" w:rsidP="00353115">
      <w:pPr>
        <w:pStyle w:val="Heading1"/>
      </w:pPr>
      <w:bookmarkStart w:id="7" w:name="O_866847"/>
      <w:bookmarkEnd w:id="7"/>
      <w:r w:rsidRPr="00353115">
        <w:t>Foundation Skills</w:t>
      </w:r>
    </w:p>
    <w:tbl>
      <w:tblPr>
        <w:tblW w:w="0" w:type="auto"/>
        <w:tblLayout w:type="fixed"/>
        <w:tblCellMar>
          <w:left w:w="62" w:type="dxa"/>
          <w:right w:w="62" w:type="dxa"/>
        </w:tblCellMar>
        <w:tblLook w:val="0000"/>
      </w:tblPr>
      <w:tblGrid>
        <w:gridCol w:w="2200"/>
        <w:gridCol w:w="6888"/>
      </w:tblGrid>
      <w:tr w:rsidTr="00353115">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This section describes the language, literacy, numeracy and employment skills es</w:t>
            </w:r>
            <w:r w:rsidRPr="00353115">
              <w:t>sential to performance in this unit but not explicit in the performance criteria.</w:t>
            </w:r>
          </w:p>
        </w:tc>
      </w:tr>
      <w:tr w:rsidTr="00353115">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353115" w:rsidP="00353115">
            <w:pPr>
              <w:pStyle w:val="BodyText"/>
            </w:pPr>
            <w:r w:rsidRPr="00353115">
              <w:rPr>
                <w:rStyle w:val="SpecialBold"/>
              </w:rPr>
              <w:t>Skill</w:t>
            </w:r>
          </w:p>
        </w:tc>
        <w:tc>
          <w:tcPr>
            <w:tcW w:w="6888"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rPr>
                <w:rStyle w:val="SpecialBold"/>
              </w:rPr>
              <w:t>Performance feature</w:t>
            </w:r>
          </w:p>
        </w:tc>
      </w:tr>
      <w:tr w:rsidTr="00353115">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Learning skills to:</w:t>
            </w:r>
          </w:p>
        </w:tc>
        <w:tc>
          <w:tcPr>
            <w:tcW w:w="6888" w:type="dxa"/>
            <w:tcBorders>
              <w:top w:val="nil"/>
              <w:left w:val="nil"/>
              <w:bottom w:val="nil"/>
              <w:right w:val="nil"/>
            </w:tcBorders>
            <w:tcMar>
              <w:top w:w="0" w:type="dxa"/>
              <w:left w:w="62" w:type="dxa"/>
              <w:bottom w:w="0" w:type="dxa"/>
              <w:right w:w="62" w:type="dxa"/>
            </w:tcMar>
          </w:tcPr>
          <w:p w:rsidR="00000000" w:rsidP="00353115">
            <w:pPr>
              <w:pStyle w:val="ListBullet"/>
              <w:rPr>
                <w:lang w:val="en-NZ"/>
              </w:rPr>
            </w:pPr>
            <w:r w:rsidRPr="00353115">
              <w:t xml:space="preserve">evaluate information from a variety of sources to inform selection of appropriate tendering </w:t>
            </w:r>
            <w:r w:rsidRPr="00353115">
              <w:t>and selection methods for contractors on construction projects.</w:t>
            </w:r>
          </w:p>
        </w:tc>
      </w:tr>
      <w:tr w:rsidTr="00353115">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Numeracy skills to:</w:t>
            </w:r>
          </w:p>
        </w:tc>
        <w:tc>
          <w:tcPr>
            <w:tcW w:w="6888" w:type="dxa"/>
            <w:tcBorders>
              <w:top w:val="nil"/>
              <w:left w:val="nil"/>
              <w:bottom w:val="nil"/>
              <w:right w:val="nil"/>
            </w:tcBorders>
            <w:tcMar>
              <w:top w:w="0" w:type="dxa"/>
              <w:left w:w="62" w:type="dxa"/>
              <w:bottom w:w="0" w:type="dxa"/>
              <w:right w:w="62" w:type="dxa"/>
            </w:tcMar>
          </w:tcPr>
          <w:p w:rsidR="00000000" w:rsidP="00353115">
            <w:pPr>
              <w:pStyle w:val="ListBullet"/>
              <w:rPr>
                <w:lang w:val="en-NZ"/>
              </w:rPr>
            </w:pPr>
            <w:r w:rsidRPr="00353115">
              <w:t>interpret statistical and graphical data to evaluate progress of construction project against time and budget parameters.</w:t>
            </w:r>
          </w:p>
        </w:tc>
      </w:tr>
      <w:tr w:rsidTr="00353115">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Oral communication skills to:</w:t>
            </w:r>
          </w:p>
        </w:tc>
        <w:tc>
          <w:tcPr>
            <w:tcW w:w="6888" w:type="dxa"/>
            <w:tcBorders>
              <w:top w:val="nil"/>
              <w:left w:val="nil"/>
              <w:bottom w:val="nil"/>
              <w:right w:val="nil"/>
            </w:tcBorders>
            <w:tcMar>
              <w:top w:w="0" w:type="dxa"/>
              <w:left w:w="62" w:type="dxa"/>
              <w:bottom w:w="0" w:type="dxa"/>
              <w:right w:w="62" w:type="dxa"/>
            </w:tcMar>
          </w:tcPr>
          <w:p w:rsidR="00000000" w:rsidRPr="00353115" w:rsidP="00353115">
            <w:pPr>
              <w:pStyle w:val="ListBullet"/>
            </w:pPr>
            <w:r w:rsidRPr="00353115">
              <w:t>discuss solutions to problems affecting completion of facility construction or renovation with team members and professional advisors</w:t>
            </w:r>
          </w:p>
          <w:p w:rsidR="00000000" w:rsidP="00353115">
            <w:pPr>
              <w:pStyle w:val="ListBullet"/>
              <w:rPr>
                <w:lang w:val="en-NZ"/>
              </w:rPr>
            </w:pPr>
            <w:r w:rsidRPr="00353115">
              <w:t>use language and concepts appropriate to cultural differences.</w:t>
            </w:r>
          </w:p>
        </w:tc>
      </w:tr>
      <w:tr w:rsidTr="00353115">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Reading skills to:</w:t>
            </w:r>
          </w:p>
        </w:tc>
        <w:tc>
          <w:tcPr>
            <w:tcW w:w="6888" w:type="dxa"/>
            <w:tcBorders>
              <w:top w:val="nil"/>
              <w:left w:val="nil"/>
              <w:bottom w:val="nil"/>
              <w:right w:val="nil"/>
            </w:tcBorders>
            <w:tcMar>
              <w:top w:w="0" w:type="dxa"/>
              <w:left w:w="62" w:type="dxa"/>
              <w:bottom w:w="0" w:type="dxa"/>
              <w:right w:w="62" w:type="dxa"/>
            </w:tcMar>
          </w:tcPr>
          <w:p w:rsidR="00000000" w:rsidP="00353115">
            <w:pPr>
              <w:pStyle w:val="ListBullet"/>
              <w:rPr>
                <w:lang w:val="en-NZ"/>
              </w:rPr>
            </w:pPr>
            <w:r w:rsidRPr="00353115">
              <w:t>interpret documentation on scope and p</w:t>
            </w:r>
            <w:r w:rsidRPr="00353115">
              <w:t>rogress of construction and renovation works, including technical specifications and contractor reports.</w:t>
            </w:r>
          </w:p>
        </w:tc>
      </w:tr>
      <w:tr w:rsidTr="00353115">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Writing skills to:</w:t>
            </w:r>
          </w:p>
        </w:tc>
        <w:tc>
          <w:tcPr>
            <w:tcW w:w="6888" w:type="dxa"/>
            <w:tcBorders>
              <w:top w:val="nil"/>
              <w:left w:val="nil"/>
              <w:bottom w:val="nil"/>
              <w:right w:val="nil"/>
            </w:tcBorders>
            <w:tcMar>
              <w:top w:w="0" w:type="dxa"/>
              <w:left w:w="62" w:type="dxa"/>
              <w:bottom w:w="0" w:type="dxa"/>
              <w:right w:w="62" w:type="dxa"/>
            </w:tcMar>
          </w:tcPr>
          <w:p w:rsidR="00000000" w:rsidRPr="00353115" w:rsidP="00353115">
            <w:pPr>
              <w:pStyle w:val="ListBullet"/>
            </w:pPr>
            <w:r w:rsidRPr="00353115">
              <w:t>notify tenderers of outcomes of tender processes.</w:t>
            </w:r>
          </w:p>
        </w:tc>
      </w:tr>
    </w:tbl>
    <w:p w:rsidR="00000000" w:rsidRPr="00353115" w:rsidP="00353115">
      <w:pPr>
        <w:pStyle w:val="BodyText"/>
      </w:pPr>
    </w:p>
    <w:p w:rsidR="00000000" w:rsidRPr="00353115" w:rsidP="00353115">
      <w:pPr>
        <w:pStyle w:val="AllowPageBreak"/>
      </w:pPr>
    </w:p>
    <w:p w:rsidR="00000000" w:rsidRPr="00353115" w:rsidP="00353115">
      <w:pPr>
        <w:pStyle w:val="Heading1"/>
      </w:pPr>
      <w:bookmarkStart w:id="8" w:name="O_866846"/>
      <w:bookmarkEnd w:id="8"/>
      <w:r w:rsidRPr="00353115">
        <w:t>Range of Conditions</w:t>
      </w:r>
    </w:p>
    <w:tbl>
      <w:tblPr>
        <w:tblW w:w="0" w:type="auto"/>
        <w:tblLayout w:type="fixed"/>
        <w:tblCellMar>
          <w:left w:w="62" w:type="dxa"/>
          <w:right w:w="62" w:type="dxa"/>
        </w:tblCellMar>
        <w:tblLook w:val="0000"/>
      </w:tblPr>
      <w:tblGrid>
        <w:gridCol w:w="2709"/>
        <w:gridCol w:w="6379"/>
      </w:tblGrid>
      <w:tr w:rsidTr="00353115">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t xml:space="preserve">This section specifies work environments </w:t>
            </w:r>
            <w:r w:rsidRPr="00353115">
              <w:t>and conditions that may affect performance. Essential operating conditions that may be present (depending on the work situation, needs of the candidate, accessibility of the item, and local industry and regional contexts) are included. Bold italicised word</w:t>
            </w:r>
            <w:r w:rsidRPr="00353115">
              <w:t>ing, if used in the performance criteria, is detailed below.</w:t>
            </w:r>
          </w:p>
        </w:tc>
      </w:tr>
      <w:tr w:rsidTr="00353115">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rPr>
                <w:rStyle w:val="BoldandItalics"/>
              </w:rPr>
              <w:t>Construction</w:t>
            </w:r>
            <w:r w:rsidRPr="00353115">
              <w:t xml:space="preserve"> must include at least one of the following:</w:t>
            </w:r>
          </w:p>
        </w:tc>
        <w:tc>
          <w:tcPr>
            <w:tcW w:w="6379" w:type="dxa"/>
            <w:tcBorders>
              <w:top w:val="nil"/>
              <w:left w:val="nil"/>
              <w:bottom w:val="nil"/>
              <w:right w:val="nil"/>
            </w:tcBorders>
            <w:tcMar>
              <w:top w:w="0" w:type="dxa"/>
              <w:left w:w="62" w:type="dxa"/>
              <w:bottom w:w="0" w:type="dxa"/>
              <w:right w:w="62" w:type="dxa"/>
            </w:tcMar>
          </w:tcPr>
          <w:p w:rsidR="00000000" w:rsidRPr="00353115" w:rsidP="00353115">
            <w:pPr>
              <w:pStyle w:val="ListBullet"/>
            </w:pPr>
            <w:r w:rsidRPr="00353115">
              <w:t>construct only</w:t>
            </w:r>
          </w:p>
          <w:p w:rsidR="00000000" w:rsidRPr="00353115" w:rsidP="00353115">
            <w:pPr>
              <w:pStyle w:val="ListBullet"/>
            </w:pPr>
            <w:r w:rsidRPr="00353115">
              <w:t>cost plus</w:t>
            </w:r>
          </w:p>
          <w:p w:rsidR="00000000" w:rsidRPr="00353115" w:rsidP="00353115">
            <w:pPr>
              <w:pStyle w:val="ListBullet"/>
            </w:pPr>
            <w:r w:rsidRPr="00353115">
              <w:t>design and construct</w:t>
            </w:r>
          </w:p>
          <w:p w:rsidR="00000000" w:rsidRPr="00353115" w:rsidP="00353115">
            <w:pPr>
              <w:pStyle w:val="ListBullet"/>
            </w:pPr>
            <w:r w:rsidRPr="00353115">
              <w:t>involvement of more than one builder</w:t>
            </w:r>
          </w:p>
          <w:p w:rsidR="00000000" w:rsidP="00353115">
            <w:pPr>
              <w:pStyle w:val="ListBullet"/>
              <w:rPr>
                <w:lang w:val="en-NZ"/>
              </w:rPr>
            </w:pPr>
            <w:r w:rsidRPr="00353115">
              <w:t>use of fixed price.</w:t>
            </w:r>
          </w:p>
        </w:tc>
      </w:tr>
      <w:tr w:rsidTr="00353115">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rPr>
                <w:rStyle w:val="BoldandItalics"/>
              </w:rPr>
              <w:t>Project</w:t>
            </w:r>
            <w:r w:rsidRPr="00353115">
              <w:t xml:space="preserve"> must include at least two of the following: </w:t>
            </w:r>
          </w:p>
        </w:tc>
        <w:tc>
          <w:tcPr>
            <w:tcW w:w="6379" w:type="dxa"/>
            <w:tcBorders>
              <w:top w:val="nil"/>
              <w:left w:val="nil"/>
              <w:bottom w:val="nil"/>
              <w:right w:val="nil"/>
            </w:tcBorders>
            <w:tcMar>
              <w:top w:w="0" w:type="dxa"/>
              <w:left w:w="62" w:type="dxa"/>
              <w:bottom w:w="0" w:type="dxa"/>
              <w:right w:w="62" w:type="dxa"/>
            </w:tcMar>
          </w:tcPr>
          <w:p w:rsidR="00000000" w:rsidRPr="00353115" w:rsidP="00353115">
            <w:pPr>
              <w:pStyle w:val="ListBullet"/>
            </w:pPr>
            <w:r w:rsidRPr="00353115">
              <w:t>creating an asset</w:t>
            </w:r>
          </w:p>
          <w:p w:rsidR="00000000" w:rsidRPr="00353115" w:rsidP="00353115">
            <w:pPr>
              <w:pStyle w:val="ListBullet"/>
            </w:pPr>
            <w:r w:rsidRPr="00353115">
              <w:t>fitting out new structures</w:t>
            </w:r>
          </w:p>
          <w:p w:rsidR="00000000" w:rsidP="00353115">
            <w:pPr>
              <w:pStyle w:val="ListBullet"/>
              <w:rPr>
                <w:lang w:val="en-NZ"/>
              </w:rPr>
            </w:pPr>
            <w:r w:rsidRPr="00353115">
              <w:t>modifying existing structures.</w:t>
            </w:r>
          </w:p>
        </w:tc>
      </w:tr>
      <w:tr w:rsidTr="00353115">
        <w:tblPrEx>
          <w:tblW w:w="0" w:type="auto"/>
          <w:tblLayout w:type="fixed"/>
          <w:tblCellMar>
            <w:left w:w="62" w:type="dxa"/>
            <w:right w:w="62" w:type="dxa"/>
          </w:tblCellMar>
          <w:tblLook w:val="0000"/>
        </w:tblPrEx>
        <w:tc>
          <w:tcPr>
            <w:tcW w:w="2709" w:type="dxa"/>
            <w:tcBorders>
              <w:top w:val="nil"/>
              <w:left w:val="nil"/>
              <w:bottom w:val="nil"/>
              <w:right w:val="nil"/>
            </w:tcBorders>
            <w:tcMar>
              <w:top w:w="0" w:type="dxa"/>
              <w:left w:w="62" w:type="dxa"/>
              <w:bottom w:w="0" w:type="dxa"/>
              <w:right w:w="62" w:type="dxa"/>
            </w:tcMar>
          </w:tcPr>
          <w:p w:rsidR="00000000" w:rsidP="00353115">
            <w:pPr>
              <w:pStyle w:val="BodyText"/>
              <w:rPr>
                <w:lang w:val="en-NZ"/>
              </w:rPr>
            </w:pPr>
            <w:r w:rsidRPr="00353115">
              <w:rPr>
                <w:rStyle w:val="BoldandItalics"/>
              </w:rPr>
              <w:t>Tendering and selection methods</w:t>
            </w:r>
            <w:r w:rsidRPr="00353115">
              <w:t xml:space="preserve"> must include at least two of the following:</w:t>
            </w:r>
          </w:p>
        </w:tc>
        <w:tc>
          <w:tcPr>
            <w:tcW w:w="6379" w:type="dxa"/>
            <w:tcBorders>
              <w:top w:val="nil"/>
              <w:left w:val="nil"/>
              <w:bottom w:val="nil"/>
              <w:right w:val="nil"/>
            </w:tcBorders>
            <w:tcMar>
              <w:top w:w="0" w:type="dxa"/>
              <w:left w:w="62" w:type="dxa"/>
              <w:bottom w:w="0" w:type="dxa"/>
              <w:right w:w="62" w:type="dxa"/>
            </w:tcMar>
          </w:tcPr>
          <w:p w:rsidR="00000000" w:rsidRPr="00353115" w:rsidP="00353115">
            <w:pPr>
              <w:pStyle w:val="ListBullet"/>
            </w:pPr>
            <w:r w:rsidRPr="00353115">
              <w:t>open tendering</w:t>
            </w:r>
          </w:p>
          <w:p w:rsidR="00000000" w:rsidRPr="00353115" w:rsidP="00353115">
            <w:pPr>
              <w:pStyle w:val="ListBullet"/>
            </w:pPr>
            <w:r w:rsidRPr="00353115">
              <w:t>request for proposal</w:t>
            </w:r>
          </w:p>
          <w:p w:rsidR="00000000" w:rsidRPr="00353115" w:rsidP="00353115">
            <w:pPr>
              <w:pStyle w:val="ListBullet"/>
            </w:pPr>
            <w:r w:rsidRPr="00353115">
              <w:t>request for quotation</w:t>
            </w:r>
          </w:p>
          <w:p w:rsidR="00000000" w:rsidRPr="00353115" w:rsidP="00353115">
            <w:pPr>
              <w:pStyle w:val="ListBullet"/>
            </w:pPr>
            <w:r w:rsidRPr="00353115">
              <w:t>restricted tendering</w:t>
            </w:r>
          </w:p>
          <w:p w:rsidR="00000000" w:rsidRPr="00353115" w:rsidP="00353115">
            <w:pPr>
              <w:pStyle w:val="ListBullet"/>
            </w:pPr>
            <w:r w:rsidRPr="00353115">
              <w:t>single source</w:t>
            </w:r>
          </w:p>
          <w:p w:rsidR="00000000" w:rsidRPr="00353115" w:rsidP="00353115">
            <w:pPr>
              <w:pStyle w:val="ListBullet"/>
            </w:pPr>
            <w:r w:rsidRPr="00353115">
              <w:t>two stage tendering.</w:t>
            </w:r>
          </w:p>
        </w:tc>
      </w:tr>
    </w:tbl>
    <w:p w:rsidR="00000000" w:rsidRPr="00353115" w:rsidP="00353115">
      <w:pPr>
        <w:pStyle w:val="BodyText"/>
      </w:pPr>
    </w:p>
    <w:p w:rsidR="00000000" w:rsidRPr="00353115" w:rsidP="00353115">
      <w:pPr>
        <w:pStyle w:val="AllowPageBreak"/>
      </w:pPr>
    </w:p>
    <w:p w:rsidR="00000000" w:rsidRPr="00353115" w:rsidP="00353115">
      <w:pPr>
        <w:pStyle w:val="Heading1"/>
      </w:pPr>
      <w:bookmarkStart w:id="9" w:name="O_866845"/>
      <w:bookmarkEnd w:id="9"/>
      <w:r w:rsidRPr="00353115">
        <w:t>Unit Mapping Information</w:t>
      </w:r>
    </w:p>
    <w:p w:rsidR="00000000" w:rsidRPr="00353115" w:rsidP="00D077BB">
      <w:pPr>
        <w:pStyle w:val="BodyText"/>
      </w:pPr>
      <w:r w:rsidRPr="00353115">
        <w:t>CPPDSM5007A Coordinate construction or renovation of facilities</w:t>
      </w:r>
    </w:p>
    <w:p w:rsidR="00000000" w:rsidRPr="00353115" w:rsidP="00353115">
      <w:pPr>
        <w:pStyle w:val="Heading1"/>
      </w:pPr>
      <w:bookmarkStart w:id="10" w:name="O_866838"/>
      <w:bookmarkEnd w:id="10"/>
      <w:r w:rsidRPr="00353115">
        <w:t>Links</w:t>
      </w:r>
    </w:p>
    <w:p w:rsidR="00000000" w:rsidRPr="00353115" w:rsidP="00D077BB">
      <w:pPr>
        <w:pStyle w:val="BodyText"/>
      </w:pPr>
      <w:r w:rsidRPr="0035311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B3803">
        <w:rPr>
          <w:rStyle w:val="Hyperlink"/>
        </w:rPr>
        <w:t>https://vetnet.gov.au/Pages/TrainingDocs.aspx?q=6f3f9672-30e8-4835-b348-205dfcf13d9b</w:t>
      </w:r>
      <w:r>
        <w:fldChar w:fldCharType="end"/>
      </w:r>
    </w:p>
    <w:p w:rsidR="00000000" w:rsidRPr="00353115" w:rsidP="00353115"/>
    <w:sectPr w:rsidSect="003531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15" w:rsidRPr="00D077BB" w:rsidP="00D07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7BB" w:rsidP="003531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77BB" w:rsidP="003531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077BB" w:rsidP="003531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7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115" w:rsidRPr="00D077BB" w:rsidP="00D077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1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7BB" w:rsidRPr="002D2AF8" w:rsidP="00353115">
    <w:pPr>
      <w:pStyle w:val="Header"/>
      <w:framePr w:wrap="around"/>
    </w:pPr>
    <w:r>
      <w:fldChar w:fldCharType="begin"/>
    </w:r>
    <w:r>
      <w:instrText xml:space="preserve"> TITLE   \* MERGEFORMAT </w:instrText>
    </w:r>
    <w:r>
      <w:fldChar w:fldCharType="separate"/>
    </w:r>
    <w:r>
      <w:t>CPPDSM5007 Coordinate construction or renovation of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2022</w:t>
    </w:r>
    <w:r>
      <w:fldChar w:fldCharType="end"/>
    </w:r>
  </w:p>
  <w:p w:rsidR="00D077BB" w:rsidP="003531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F201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9CA4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1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115"/>
    <w:pPr>
      <w:spacing w:before="360" w:after="60"/>
      <w:outlineLvl w:val="0"/>
    </w:pPr>
    <w:rPr>
      <w:sz w:val="32"/>
    </w:rPr>
  </w:style>
  <w:style w:type="paragraph" w:styleId="Heading2">
    <w:name w:val="heading 2"/>
    <w:basedOn w:val="HeadingBase"/>
    <w:next w:val="BodyText"/>
    <w:link w:val="Heading2Char"/>
    <w:qFormat/>
    <w:rsid w:val="00353115"/>
    <w:pPr>
      <w:keepLines/>
      <w:spacing w:before="240" w:after="120"/>
      <w:outlineLvl w:val="1"/>
    </w:pPr>
    <w:rPr>
      <w:sz w:val="28"/>
      <w:szCs w:val="40"/>
    </w:rPr>
  </w:style>
  <w:style w:type="paragraph" w:styleId="Heading3">
    <w:name w:val="heading 3"/>
    <w:basedOn w:val="HeadingBase"/>
    <w:next w:val="BodyText"/>
    <w:link w:val="Heading3Char"/>
    <w:qFormat/>
    <w:rsid w:val="00353115"/>
    <w:pPr>
      <w:spacing w:before="180" w:after="120"/>
      <w:outlineLvl w:val="2"/>
    </w:pPr>
    <w:rPr>
      <w:spacing w:val="-10"/>
      <w:kern w:val="32"/>
    </w:rPr>
  </w:style>
  <w:style w:type="paragraph" w:styleId="Heading4">
    <w:name w:val="heading 4"/>
    <w:basedOn w:val="HeadingBase"/>
    <w:next w:val="BodyText"/>
    <w:link w:val="Heading4Char"/>
    <w:qFormat/>
    <w:rsid w:val="00353115"/>
    <w:pPr>
      <w:spacing w:before="160" w:after="120"/>
      <w:outlineLvl w:val="3"/>
    </w:pPr>
    <w:rPr>
      <w:sz w:val="22"/>
    </w:rPr>
  </w:style>
  <w:style w:type="paragraph" w:styleId="Heading5">
    <w:name w:val="heading 5"/>
    <w:basedOn w:val="HeadingBase"/>
    <w:next w:val="Normal"/>
    <w:link w:val="Heading5Char"/>
    <w:qFormat/>
    <w:rsid w:val="00353115"/>
    <w:pPr>
      <w:spacing w:before="80"/>
      <w:outlineLvl w:val="4"/>
    </w:pPr>
    <w:rPr>
      <w:color w:val="918585"/>
      <w:sz w:val="20"/>
    </w:rPr>
  </w:style>
  <w:style w:type="paragraph" w:styleId="Heading6">
    <w:name w:val="heading 6"/>
    <w:basedOn w:val="HeadingBase"/>
    <w:next w:val="Normal"/>
    <w:link w:val="Heading6Char"/>
    <w:qFormat/>
    <w:rsid w:val="00353115"/>
    <w:pPr>
      <w:spacing w:before="60"/>
      <w:outlineLvl w:val="5"/>
    </w:pPr>
    <w:rPr>
      <w:color w:val="918585"/>
      <w:sz w:val="20"/>
    </w:rPr>
  </w:style>
  <w:style w:type="paragraph" w:styleId="Heading7">
    <w:name w:val="heading 7"/>
    <w:basedOn w:val="Normal"/>
    <w:next w:val="Normal"/>
    <w:link w:val="Heading7Char"/>
    <w:qFormat/>
    <w:rsid w:val="00353115"/>
    <w:pPr>
      <w:ind w:left="720"/>
      <w:outlineLvl w:val="6"/>
    </w:pPr>
    <w:rPr>
      <w:i/>
    </w:rPr>
  </w:style>
  <w:style w:type="paragraph" w:styleId="Heading8">
    <w:name w:val="heading 8"/>
    <w:basedOn w:val="Normal"/>
    <w:next w:val="Normal"/>
    <w:link w:val="Heading8Char"/>
    <w:qFormat/>
    <w:rsid w:val="00353115"/>
    <w:pPr>
      <w:ind w:left="720"/>
      <w:outlineLvl w:val="7"/>
    </w:pPr>
    <w:rPr>
      <w:i/>
    </w:rPr>
  </w:style>
  <w:style w:type="paragraph" w:styleId="Heading9">
    <w:name w:val="heading 9"/>
    <w:basedOn w:val="Normal"/>
    <w:next w:val="Normal"/>
    <w:link w:val="Heading9Char"/>
    <w:qFormat/>
    <w:rsid w:val="00353115"/>
    <w:pPr>
      <w:ind w:left="720"/>
      <w:outlineLvl w:val="8"/>
    </w:pPr>
    <w:rPr>
      <w:i/>
    </w:rPr>
  </w:style>
  <w:style w:type="character" w:default="1" w:styleId="DefaultParagraphFont">
    <w:name w:val="Default Paragraph Font"/>
    <w:uiPriority w:val="1"/>
    <w:unhideWhenUsed/>
    <w:rsid w:val="003531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115"/>
  </w:style>
  <w:style w:type="character" w:customStyle="1" w:styleId="Heading1Char">
    <w:name w:val="Heading 1 Char"/>
    <w:basedOn w:val="DefaultParagraphFont"/>
    <w:link w:val="Heading1"/>
    <w:rsid w:val="00353115"/>
    <w:rPr>
      <w:rFonts w:ascii="Times New Roman" w:eastAsia="Times New Roman" w:hAnsi="Times New Roman" w:cs="Times New Roman"/>
      <w:b/>
      <w:sz w:val="32"/>
      <w:szCs w:val="20"/>
      <w:lang w:eastAsia="en-US"/>
    </w:rPr>
  </w:style>
  <w:style w:type="paragraph" w:styleId="BodyText">
    <w:name w:val="Body Text"/>
    <w:basedOn w:val="Normal"/>
    <w:link w:val="BodyTextChar"/>
    <w:rsid w:val="003531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115"/>
    <w:rPr>
      <w:rFonts w:ascii="Times New Roman" w:eastAsia="Times New Roman" w:hAnsi="Times New Roman" w:cs="Times New Roman"/>
      <w:sz w:val="24"/>
      <w:lang w:eastAsia="en-US"/>
    </w:rPr>
  </w:style>
  <w:style w:type="paragraph" w:styleId="ListBullet">
    <w:name w:val="List Bullet"/>
    <w:basedOn w:val="List"/>
    <w:rsid w:val="00353115"/>
    <w:pPr>
      <w:numPr>
        <w:numId w:val="11"/>
      </w:numPr>
      <w:tabs>
        <w:tab w:val="clear" w:pos="340"/>
      </w:tabs>
      <w:spacing w:before="40" w:after="40"/>
    </w:pPr>
  </w:style>
  <w:style w:type="character" w:customStyle="1" w:styleId="SpecialBold">
    <w:name w:val="Special Bold"/>
    <w:basedOn w:val="DefaultParagraphFont"/>
    <w:rsid w:val="00353115"/>
    <w:rPr>
      <w:b/>
      <w:spacing w:val="0"/>
    </w:rPr>
  </w:style>
  <w:style w:type="paragraph" w:customStyle="1" w:styleId="SuperHeading">
    <w:name w:val="SuperHeading"/>
    <w:basedOn w:val="Normal"/>
    <w:rsid w:val="00353115"/>
    <w:pPr>
      <w:spacing w:before="240" w:after="120"/>
      <w:outlineLvl w:val="0"/>
    </w:pPr>
    <w:rPr>
      <w:rFonts w:ascii="Times New Roman" w:hAnsi="Times New Roman"/>
      <w:b/>
      <w:sz w:val="32"/>
    </w:rPr>
  </w:style>
  <w:style w:type="paragraph" w:customStyle="1" w:styleId="AllowPageBreak">
    <w:name w:val="AllowPageBreak"/>
    <w:rsid w:val="003531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3115"/>
    <w:rPr>
      <w:b/>
      <w:i/>
      <w:u w:val="none"/>
    </w:rPr>
  </w:style>
  <w:style w:type="character" w:customStyle="1" w:styleId="Heading2Char">
    <w:name w:val="Heading 2 Char"/>
    <w:basedOn w:val="DefaultParagraphFont"/>
    <w:link w:val="Heading2"/>
    <w:rsid w:val="003531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1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1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1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1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1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1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115"/>
    <w:rPr>
      <w:rFonts w:ascii="Courier New" w:eastAsia="Times New Roman" w:hAnsi="Courier New" w:cs="Times New Roman"/>
      <w:i/>
      <w:szCs w:val="20"/>
      <w:lang w:eastAsia="en-US"/>
    </w:rPr>
  </w:style>
  <w:style w:type="paragraph" w:customStyle="1" w:styleId="HeadingBase">
    <w:name w:val="Heading Base"/>
    <w:rsid w:val="003531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115"/>
    <w:pPr>
      <w:tabs>
        <w:tab w:val="right" w:leader="dot" w:pos="9072"/>
      </w:tabs>
      <w:ind w:left="567"/>
    </w:pPr>
    <w:rPr>
      <w:szCs w:val="22"/>
    </w:rPr>
  </w:style>
  <w:style w:type="paragraph" w:customStyle="1" w:styleId="TOCBase">
    <w:name w:val="TOC Base"/>
    <w:rsid w:val="003531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115"/>
    <w:pPr>
      <w:tabs>
        <w:tab w:val="right" w:leader="dot" w:pos="9072"/>
      </w:tabs>
      <w:spacing w:before="40" w:after="40"/>
      <w:ind w:left="284"/>
    </w:pPr>
    <w:rPr>
      <w:rFonts w:ascii="Times New Roman" w:hAnsi="Times New Roman"/>
    </w:rPr>
  </w:style>
  <w:style w:type="paragraph" w:styleId="TOC1">
    <w:name w:val="toc 1"/>
    <w:basedOn w:val="TOCBase"/>
    <w:next w:val="Normal"/>
    <w:rsid w:val="003531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1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115"/>
    <w:rPr>
      <w:rFonts w:ascii="Times New Roman" w:eastAsia="Times New Roman" w:hAnsi="Times New Roman" w:cs="Times New Roman"/>
      <w:sz w:val="16"/>
      <w:lang w:eastAsia="en-US"/>
    </w:rPr>
  </w:style>
  <w:style w:type="paragraph" w:styleId="Title">
    <w:name w:val="Title"/>
    <w:basedOn w:val="HeadingBase"/>
    <w:link w:val="TitleChar"/>
    <w:qFormat/>
    <w:rsid w:val="00353115"/>
    <w:pPr>
      <w:spacing w:before="5040"/>
      <w:jc w:val="center"/>
    </w:pPr>
    <w:rPr>
      <w:sz w:val="48"/>
      <w:szCs w:val="72"/>
      <w:lang w:val="en-US"/>
    </w:rPr>
  </w:style>
  <w:style w:type="character" w:customStyle="1" w:styleId="TitleChar">
    <w:name w:val="Title Char"/>
    <w:basedOn w:val="DefaultParagraphFont"/>
    <w:link w:val="Title"/>
    <w:rsid w:val="003531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115"/>
    <w:pPr>
      <w:tabs>
        <w:tab w:val="left" w:pos="3600"/>
        <w:tab w:val="left" w:pos="3958"/>
      </w:tabs>
    </w:pPr>
  </w:style>
  <w:style w:type="paragraph" w:styleId="List">
    <w:name w:val="List"/>
    <w:basedOn w:val="BodyText"/>
    <w:next w:val="BodyText"/>
    <w:rsid w:val="00353115"/>
    <w:pPr>
      <w:tabs>
        <w:tab w:val="left" w:pos="340"/>
      </w:tabs>
      <w:spacing w:before="60" w:after="60"/>
      <w:ind w:left="340" w:hanging="340"/>
    </w:pPr>
  </w:style>
  <w:style w:type="paragraph" w:customStyle="1" w:styleId="Note">
    <w:name w:val="Note"/>
    <w:basedOn w:val="BodyText"/>
    <w:rsid w:val="003531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115"/>
    <w:pPr>
      <w:framePr w:wrap="auto" w:hAnchor="text" w:y="6049"/>
    </w:pPr>
    <w:rPr>
      <w:color w:val="000000"/>
      <w:sz w:val="40"/>
    </w:rPr>
  </w:style>
  <w:style w:type="paragraph" w:customStyle="1" w:styleId="TOCTitle">
    <w:name w:val="TOCTitle"/>
    <w:basedOn w:val="Heading1"/>
    <w:rsid w:val="00353115"/>
    <w:pPr>
      <w:spacing w:after="240"/>
      <w:jc w:val="center"/>
      <w:outlineLvl w:val="9"/>
    </w:pPr>
    <w:rPr>
      <w:caps/>
    </w:rPr>
  </w:style>
  <w:style w:type="paragraph" w:customStyle="1" w:styleId="Version">
    <w:name w:val="Version"/>
    <w:rsid w:val="003531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115"/>
    <w:pPr>
      <w:numPr>
        <w:numId w:val="12"/>
      </w:numPr>
      <w:tabs>
        <w:tab w:val="clear" w:pos="680"/>
      </w:tabs>
    </w:pPr>
  </w:style>
  <w:style w:type="paragraph" w:styleId="Index1">
    <w:name w:val="index 1"/>
    <w:basedOn w:val="Normal"/>
    <w:next w:val="Normal"/>
    <w:semiHidden/>
    <w:rsid w:val="00353115"/>
    <w:pPr>
      <w:keepNext w:val="0"/>
      <w:tabs>
        <w:tab w:val="right" w:pos="4176"/>
      </w:tabs>
      <w:ind w:left="198" w:hanging="198"/>
    </w:pPr>
    <w:rPr>
      <w:rFonts w:ascii="Garamond" w:hAnsi="Garamond"/>
    </w:rPr>
  </w:style>
  <w:style w:type="paragraph" w:styleId="IndexHeading">
    <w:name w:val="index heading"/>
    <w:basedOn w:val="Normal"/>
    <w:next w:val="Index1"/>
    <w:semiHidden/>
    <w:rsid w:val="00353115"/>
    <w:pPr>
      <w:spacing w:before="120" w:after="120"/>
    </w:pPr>
    <w:rPr>
      <w:rFonts w:ascii="Arial" w:hAnsi="Arial"/>
      <w:b/>
      <w:color w:val="918585"/>
      <w:sz w:val="24"/>
    </w:rPr>
  </w:style>
  <w:style w:type="paragraph" w:styleId="Header">
    <w:name w:val="header"/>
    <w:basedOn w:val="Normal"/>
    <w:link w:val="HeaderChar"/>
    <w:rsid w:val="003531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115"/>
    <w:rPr>
      <w:rFonts w:ascii="Times New Roman" w:eastAsia="Times New Roman" w:hAnsi="Times New Roman" w:cs="Times New Roman"/>
      <w:sz w:val="16"/>
      <w:szCs w:val="20"/>
      <w:lang w:val="en-GB" w:eastAsia="en-US"/>
    </w:rPr>
  </w:style>
  <w:style w:type="paragraph" w:customStyle="1" w:styleId="Chapter">
    <w:name w:val="Chapter"/>
    <w:basedOn w:val="Normal"/>
    <w:rsid w:val="00353115"/>
    <w:pPr>
      <w:spacing w:before="240"/>
    </w:pPr>
    <w:rPr>
      <w:rFonts w:ascii="Times New Roman" w:hAnsi="Times New Roman"/>
      <w:smallCaps/>
      <w:spacing w:val="80"/>
      <w:sz w:val="28"/>
    </w:rPr>
  </w:style>
  <w:style w:type="paragraph" w:customStyle="1" w:styleId="InChapter">
    <w:name w:val="InChapter"/>
    <w:basedOn w:val="Heading3"/>
    <w:rsid w:val="00353115"/>
    <w:pPr>
      <w:spacing w:after="240"/>
      <w:outlineLvl w:val="9"/>
    </w:pPr>
    <w:rPr>
      <w:noProof/>
    </w:rPr>
  </w:style>
  <w:style w:type="paragraph" w:styleId="Index2">
    <w:name w:val="index 2"/>
    <w:basedOn w:val="Normal"/>
    <w:next w:val="Normal"/>
    <w:semiHidden/>
    <w:rsid w:val="00353115"/>
    <w:pPr>
      <w:tabs>
        <w:tab w:val="right" w:pos="4176"/>
      </w:tabs>
      <w:ind w:left="568" w:hanging="284"/>
    </w:pPr>
    <w:rPr>
      <w:rFonts w:ascii="Garamond" w:hAnsi="Garamond"/>
    </w:rPr>
  </w:style>
  <w:style w:type="paragraph" w:customStyle="1" w:styleId="Byline">
    <w:name w:val="Byline"/>
    <w:rsid w:val="003531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115"/>
    <w:pPr>
      <w:tabs>
        <w:tab w:val="clear" w:pos="3600"/>
        <w:tab w:val="clear" w:pos="3958"/>
      </w:tabs>
      <w:jc w:val="right"/>
    </w:pPr>
  </w:style>
  <w:style w:type="character" w:styleId="Emphasis">
    <w:name w:val="Emphasis"/>
    <w:basedOn w:val="DefaultParagraphFont"/>
    <w:qFormat/>
    <w:rsid w:val="00353115"/>
    <w:rPr>
      <w:i/>
    </w:rPr>
  </w:style>
  <w:style w:type="paragraph" w:styleId="Caption">
    <w:name w:val="caption"/>
    <w:basedOn w:val="BodyText"/>
    <w:next w:val="Normal"/>
    <w:qFormat/>
    <w:rsid w:val="00353115"/>
    <w:pPr>
      <w:framePr w:w="2268" w:hSpace="181" w:vSpace="181" w:wrap="around" w:vAnchor="text" w:hAnchor="page" w:x="1135" w:y="285" w:anchorLock="1"/>
    </w:pPr>
    <w:rPr>
      <w:i/>
    </w:rPr>
  </w:style>
  <w:style w:type="paragraph" w:customStyle="1" w:styleId="MiniTOCTitle">
    <w:name w:val="MiniTOCTitle"/>
    <w:basedOn w:val="Heading4"/>
    <w:rsid w:val="00353115"/>
    <w:pPr>
      <w:spacing w:before="240"/>
      <w:outlineLvl w:val="9"/>
    </w:pPr>
    <w:rPr>
      <w:noProof/>
      <w:sz w:val="24"/>
    </w:rPr>
  </w:style>
  <w:style w:type="paragraph" w:customStyle="1" w:styleId="MiniTOCItem">
    <w:name w:val="MiniTOCItem"/>
    <w:basedOn w:val="ListBullet"/>
    <w:rsid w:val="00353115"/>
    <w:pPr>
      <w:numPr>
        <w:numId w:val="0"/>
      </w:numPr>
      <w:tabs>
        <w:tab w:val="right" w:leader="dot" w:pos="6521"/>
      </w:tabs>
      <w:spacing w:before="0" w:after="0"/>
    </w:pPr>
  </w:style>
  <w:style w:type="paragraph" w:customStyle="1" w:styleId="TOFTitle">
    <w:name w:val="TOFTitle"/>
    <w:basedOn w:val="TOCTitle"/>
    <w:rsid w:val="00353115"/>
  </w:style>
  <w:style w:type="paragraph" w:styleId="TableofFigures">
    <w:name w:val="table of figures"/>
    <w:basedOn w:val="Normal"/>
    <w:next w:val="Normal"/>
    <w:semiHidden/>
    <w:rsid w:val="00353115"/>
    <w:pPr>
      <w:tabs>
        <w:tab w:val="right" w:leader="dot" w:pos="9072"/>
      </w:tabs>
      <w:ind w:left="970" w:hanging="403"/>
    </w:pPr>
    <w:rPr>
      <w:rFonts w:ascii="Times New Roman" w:hAnsi="Times New Roman"/>
      <w:b/>
    </w:rPr>
  </w:style>
  <w:style w:type="paragraph" w:styleId="ListNumber">
    <w:name w:val="List Number"/>
    <w:basedOn w:val="List"/>
    <w:rsid w:val="00353115"/>
    <w:pPr>
      <w:numPr>
        <w:numId w:val="14"/>
      </w:numPr>
      <w:tabs>
        <w:tab w:val="clear" w:pos="340"/>
      </w:tabs>
    </w:pPr>
  </w:style>
  <w:style w:type="character" w:customStyle="1" w:styleId="WingdingSymbols">
    <w:name w:val="Wingding Symbols"/>
    <w:rsid w:val="00353115"/>
    <w:rPr>
      <w:rFonts w:ascii="Wingdings" w:hAnsi="Wingdings"/>
    </w:rPr>
  </w:style>
  <w:style w:type="paragraph" w:customStyle="1" w:styleId="TableHeading">
    <w:name w:val="Table Heading"/>
    <w:basedOn w:val="HeadingBase"/>
    <w:rsid w:val="00353115"/>
    <w:pPr>
      <w:keepLines/>
      <w:pBdr>
        <w:bottom w:val="single" w:sz="6" w:space="1" w:color="918585"/>
      </w:pBdr>
      <w:spacing w:before="240"/>
    </w:pPr>
  </w:style>
  <w:style w:type="character" w:customStyle="1" w:styleId="HotSpot">
    <w:name w:val="HotSpot"/>
    <w:rsid w:val="00353115"/>
    <w:rPr>
      <w:color w:val="0033CC"/>
      <w:u w:val="none"/>
    </w:rPr>
  </w:style>
  <w:style w:type="paragraph" w:customStyle="1" w:styleId="BodyTextRight">
    <w:name w:val="Body Text Right"/>
    <w:basedOn w:val="BodyText"/>
    <w:rsid w:val="00353115"/>
    <w:pPr>
      <w:spacing w:before="0" w:after="0"/>
      <w:jc w:val="right"/>
    </w:pPr>
  </w:style>
  <w:style w:type="paragraph" w:styleId="Index3">
    <w:name w:val="index 3"/>
    <w:basedOn w:val="ListNumber2"/>
    <w:next w:val="Normal"/>
    <w:semiHidden/>
    <w:rsid w:val="00353115"/>
    <w:pPr>
      <w:numPr>
        <w:numId w:val="0"/>
      </w:numPr>
      <w:tabs>
        <w:tab w:val="right" w:leader="dot" w:pos="4176"/>
      </w:tabs>
    </w:pPr>
  </w:style>
  <w:style w:type="paragraph" w:styleId="ListNumber2">
    <w:name w:val="List Number 2"/>
    <w:basedOn w:val="List2"/>
    <w:rsid w:val="00353115"/>
    <w:pPr>
      <w:numPr>
        <w:numId w:val="9"/>
      </w:numPr>
      <w:tabs>
        <w:tab w:val="clear" w:pos="1060"/>
      </w:tabs>
    </w:pPr>
  </w:style>
  <w:style w:type="paragraph" w:customStyle="1" w:styleId="MarginNote">
    <w:name w:val="Margin Note"/>
    <w:basedOn w:val="BodyText"/>
    <w:rsid w:val="003531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1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1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115"/>
    <w:rPr>
      <w:sz w:val="32"/>
    </w:rPr>
  </w:style>
  <w:style w:type="paragraph" w:customStyle="1" w:styleId="HeadingProcedure">
    <w:name w:val="Heading Procedure"/>
    <w:basedOn w:val="HeadingBase"/>
    <w:next w:val="Normal"/>
    <w:rsid w:val="00353115"/>
    <w:pPr>
      <w:tabs>
        <w:tab w:val="left" w:pos="0"/>
      </w:tabs>
      <w:spacing w:before="120" w:after="60"/>
    </w:pPr>
    <w:rPr>
      <w:i/>
      <w:color w:val="918585"/>
      <w:sz w:val="22"/>
    </w:rPr>
  </w:style>
  <w:style w:type="paragraph" w:customStyle="1" w:styleId="TableBodyText">
    <w:name w:val="Table Body Text"/>
    <w:basedOn w:val="BodyText"/>
    <w:rsid w:val="00353115"/>
    <w:pPr>
      <w:spacing w:before="60" w:after="60"/>
    </w:pPr>
  </w:style>
  <w:style w:type="paragraph" w:styleId="ListContinue">
    <w:name w:val="List Continue"/>
    <w:basedOn w:val="List"/>
    <w:rsid w:val="00353115"/>
    <w:pPr>
      <w:ind w:firstLine="0"/>
    </w:pPr>
  </w:style>
  <w:style w:type="paragraph" w:customStyle="1" w:styleId="ListNote">
    <w:name w:val="List Note"/>
    <w:basedOn w:val="List"/>
    <w:rsid w:val="00353115"/>
    <w:pPr>
      <w:pBdr>
        <w:top w:val="single" w:sz="6" w:space="2" w:color="918585"/>
        <w:bottom w:val="single" w:sz="6" w:space="2" w:color="918585"/>
      </w:pBdr>
      <w:tabs>
        <w:tab w:val="left" w:pos="1021"/>
      </w:tabs>
      <w:ind w:firstLine="0"/>
    </w:pPr>
  </w:style>
  <w:style w:type="paragraph" w:customStyle="1" w:styleId="Warning">
    <w:name w:val="Warning"/>
    <w:basedOn w:val="BodyText"/>
    <w:rsid w:val="00353115"/>
    <w:pPr>
      <w:shd w:val="clear" w:color="auto" w:fill="D9D9D9"/>
      <w:tabs>
        <w:tab w:val="left" w:pos="992"/>
      </w:tabs>
      <w:ind w:left="119" w:right="119"/>
    </w:pPr>
    <w:rPr>
      <w:sz w:val="20"/>
    </w:rPr>
  </w:style>
  <w:style w:type="paragraph" w:customStyle="1" w:styleId="MarginIcons">
    <w:name w:val="Margin Icons"/>
    <w:basedOn w:val="BodyText"/>
    <w:rsid w:val="003531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115"/>
    <w:rPr>
      <w:rFonts w:ascii="Courier New" w:hAnsi="Courier New"/>
    </w:rPr>
  </w:style>
  <w:style w:type="paragraph" w:customStyle="1" w:styleId="NoteBullet">
    <w:name w:val="Note Bullet"/>
    <w:basedOn w:val="Note"/>
    <w:rsid w:val="00353115"/>
    <w:pPr>
      <w:tabs>
        <w:tab w:val="clear" w:pos="680"/>
      </w:tabs>
      <w:spacing w:before="60" w:after="60"/>
    </w:pPr>
  </w:style>
  <w:style w:type="paragraph" w:customStyle="1" w:styleId="SubHeading2">
    <w:name w:val="SubHeading2"/>
    <w:basedOn w:val="HeadingBase"/>
    <w:rsid w:val="00353115"/>
    <w:pPr>
      <w:spacing w:before="240" w:after="60"/>
    </w:pPr>
    <w:rPr>
      <w:sz w:val="20"/>
    </w:rPr>
  </w:style>
  <w:style w:type="paragraph" w:customStyle="1" w:styleId="SubHeading1">
    <w:name w:val="SubHeading1"/>
    <w:basedOn w:val="HeadingBase"/>
    <w:rsid w:val="00353115"/>
    <w:pPr>
      <w:spacing w:before="240" w:after="60"/>
    </w:pPr>
    <w:rPr>
      <w:color w:val="918585"/>
      <w:sz w:val="22"/>
    </w:rPr>
  </w:style>
  <w:style w:type="paragraph" w:customStyle="1" w:styleId="SideHeading">
    <w:name w:val="Side Heading"/>
    <w:basedOn w:val="HeadingBase"/>
    <w:rsid w:val="003531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115"/>
    <w:pPr>
      <w:numPr>
        <w:numId w:val="10"/>
      </w:numPr>
    </w:pPr>
  </w:style>
  <w:style w:type="paragraph" w:styleId="PlainText">
    <w:name w:val="Plain Text"/>
    <w:basedOn w:val="Normal"/>
    <w:link w:val="PlainTextChar"/>
    <w:rsid w:val="00353115"/>
    <w:rPr>
      <w:sz w:val="20"/>
    </w:rPr>
  </w:style>
  <w:style w:type="character" w:customStyle="1" w:styleId="PlainTextChar">
    <w:name w:val="Plain Text Char"/>
    <w:basedOn w:val="DefaultParagraphFont"/>
    <w:link w:val="PlainText"/>
    <w:rsid w:val="00353115"/>
    <w:rPr>
      <w:rFonts w:ascii="Courier New" w:eastAsia="Times New Roman" w:hAnsi="Courier New" w:cs="Times New Roman"/>
      <w:sz w:val="20"/>
      <w:szCs w:val="20"/>
      <w:lang w:eastAsia="en-US"/>
    </w:rPr>
  </w:style>
  <w:style w:type="character" w:customStyle="1" w:styleId="MenuOption">
    <w:name w:val="Menu Option"/>
    <w:basedOn w:val="DefaultParagraphFont"/>
    <w:rsid w:val="00353115"/>
    <w:rPr>
      <w:b/>
      <w:smallCaps/>
    </w:rPr>
  </w:style>
  <w:style w:type="paragraph" w:customStyle="1" w:styleId="TableListNumber">
    <w:name w:val="Table List Number"/>
    <w:basedOn w:val="ListNumber"/>
    <w:rsid w:val="00353115"/>
    <w:pPr>
      <w:numPr>
        <w:numId w:val="0"/>
      </w:numPr>
    </w:pPr>
  </w:style>
  <w:style w:type="paragraph" w:styleId="TOC4">
    <w:name w:val="toc 4"/>
    <w:basedOn w:val="TOCBase"/>
    <w:next w:val="Normal"/>
    <w:semiHidden/>
    <w:rsid w:val="00353115"/>
    <w:pPr>
      <w:tabs>
        <w:tab w:val="right" w:leader="dot" w:pos="9071"/>
      </w:tabs>
      <w:ind w:left="1701"/>
    </w:pPr>
  </w:style>
  <w:style w:type="paragraph" w:customStyle="1" w:styleId="ListAlpha">
    <w:name w:val="List Alpha"/>
    <w:basedOn w:val="List"/>
    <w:rsid w:val="00353115"/>
    <w:pPr>
      <w:numPr>
        <w:numId w:val="8"/>
      </w:numPr>
    </w:pPr>
  </w:style>
  <w:style w:type="paragraph" w:customStyle="1" w:styleId="ListAlpha2">
    <w:name w:val="List Alpha 2"/>
    <w:basedOn w:val="List2"/>
    <w:rsid w:val="00353115"/>
    <w:pPr>
      <w:numPr>
        <w:numId w:val="7"/>
      </w:numPr>
    </w:pPr>
  </w:style>
  <w:style w:type="paragraph" w:styleId="List2">
    <w:name w:val="List 2"/>
    <w:basedOn w:val="BodyText"/>
    <w:rsid w:val="00353115"/>
    <w:pPr>
      <w:tabs>
        <w:tab w:val="left" w:pos="680"/>
      </w:tabs>
      <w:spacing w:before="60" w:after="60"/>
      <w:ind w:left="680" w:hanging="340"/>
    </w:pPr>
  </w:style>
  <w:style w:type="paragraph" w:styleId="List3">
    <w:name w:val="List 3"/>
    <w:basedOn w:val="BodyText"/>
    <w:rsid w:val="00353115"/>
    <w:pPr>
      <w:tabs>
        <w:tab w:val="left" w:pos="1021"/>
      </w:tabs>
      <w:spacing w:before="60" w:after="60"/>
      <w:ind w:left="1020" w:hanging="340"/>
    </w:pPr>
  </w:style>
  <w:style w:type="paragraph" w:styleId="List4">
    <w:name w:val="List 4"/>
    <w:basedOn w:val="BodyText"/>
    <w:rsid w:val="00353115"/>
    <w:pPr>
      <w:tabs>
        <w:tab w:val="left" w:pos="1361"/>
      </w:tabs>
      <w:spacing w:before="60" w:after="60"/>
      <w:ind w:left="1361" w:hanging="340"/>
    </w:pPr>
  </w:style>
  <w:style w:type="paragraph" w:styleId="List5">
    <w:name w:val="List 5"/>
    <w:basedOn w:val="BodyText"/>
    <w:rsid w:val="00353115"/>
    <w:pPr>
      <w:tabs>
        <w:tab w:val="left" w:pos="1701"/>
      </w:tabs>
      <w:spacing w:before="60" w:after="60"/>
      <w:ind w:left="1701" w:hanging="340"/>
    </w:pPr>
  </w:style>
  <w:style w:type="paragraph" w:styleId="ListBullet3">
    <w:name w:val="List Bullet 3"/>
    <w:basedOn w:val="List3"/>
    <w:rsid w:val="00353115"/>
    <w:pPr>
      <w:numPr>
        <w:numId w:val="13"/>
      </w:numPr>
      <w:tabs>
        <w:tab w:val="clear" w:pos="1021"/>
      </w:tabs>
      <w:ind w:left="1037" w:hanging="357"/>
    </w:pPr>
  </w:style>
  <w:style w:type="paragraph" w:styleId="ListBullet4">
    <w:name w:val="List Bullet 4"/>
    <w:basedOn w:val="List4"/>
    <w:rsid w:val="00353115"/>
    <w:pPr>
      <w:numPr>
        <w:numId w:val="2"/>
      </w:numPr>
      <w:tabs>
        <w:tab w:val="clear" w:pos="1361"/>
      </w:tabs>
    </w:pPr>
  </w:style>
  <w:style w:type="paragraph" w:styleId="ListBullet5">
    <w:name w:val="List Bullet 5"/>
    <w:basedOn w:val="List5"/>
    <w:rsid w:val="00353115"/>
    <w:pPr>
      <w:numPr>
        <w:numId w:val="3"/>
      </w:numPr>
    </w:pPr>
  </w:style>
  <w:style w:type="paragraph" w:styleId="ListContinue2">
    <w:name w:val="List Continue 2"/>
    <w:basedOn w:val="List2"/>
    <w:rsid w:val="00353115"/>
    <w:pPr>
      <w:ind w:firstLine="0"/>
    </w:pPr>
  </w:style>
  <w:style w:type="paragraph" w:styleId="ListContinue3">
    <w:name w:val="List Continue 3"/>
    <w:basedOn w:val="List3"/>
    <w:rsid w:val="00353115"/>
    <w:pPr>
      <w:ind w:left="1021" w:firstLine="0"/>
    </w:pPr>
  </w:style>
  <w:style w:type="paragraph" w:styleId="ListContinue4">
    <w:name w:val="List Continue 4"/>
    <w:basedOn w:val="List4"/>
    <w:rsid w:val="00353115"/>
    <w:pPr>
      <w:ind w:firstLine="0"/>
    </w:pPr>
  </w:style>
  <w:style w:type="paragraph" w:styleId="ListContinue5">
    <w:name w:val="List Continue 5"/>
    <w:basedOn w:val="List5"/>
    <w:rsid w:val="00353115"/>
    <w:pPr>
      <w:ind w:firstLine="0"/>
    </w:pPr>
  </w:style>
  <w:style w:type="paragraph" w:styleId="ListNumber3">
    <w:name w:val="List Number 3"/>
    <w:basedOn w:val="List3"/>
    <w:rsid w:val="00353115"/>
    <w:pPr>
      <w:numPr>
        <w:numId w:val="4"/>
      </w:numPr>
    </w:pPr>
  </w:style>
  <w:style w:type="paragraph" w:styleId="ListNumber4">
    <w:name w:val="List Number 4"/>
    <w:basedOn w:val="List4"/>
    <w:rsid w:val="00353115"/>
    <w:pPr>
      <w:numPr>
        <w:numId w:val="5"/>
      </w:numPr>
    </w:pPr>
  </w:style>
  <w:style w:type="paragraph" w:styleId="ListNumber5">
    <w:name w:val="List Number 5"/>
    <w:basedOn w:val="List5"/>
    <w:rsid w:val="00353115"/>
    <w:pPr>
      <w:numPr>
        <w:numId w:val="6"/>
      </w:numPr>
    </w:pPr>
  </w:style>
  <w:style w:type="paragraph" w:styleId="BlockText">
    <w:name w:val="Block Text"/>
    <w:basedOn w:val="Normal"/>
    <w:rsid w:val="00353115"/>
    <w:pPr>
      <w:spacing w:after="120"/>
      <w:ind w:left="1440" w:right="1440"/>
    </w:pPr>
  </w:style>
  <w:style w:type="character" w:customStyle="1" w:styleId="Subscript">
    <w:name w:val="Subscript"/>
    <w:basedOn w:val="DefaultParagraphFont"/>
    <w:rsid w:val="00353115"/>
    <w:rPr>
      <w:sz w:val="16"/>
      <w:vertAlign w:val="subscript"/>
    </w:rPr>
  </w:style>
  <w:style w:type="character" w:customStyle="1" w:styleId="Superscript">
    <w:name w:val="Superscript"/>
    <w:basedOn w:val="DefaultParagraphFont"/>
    <w:rsid w:val="00353115"/>
    <w:rPr>
      <w:sz w:val="16"/>
      <w:vertAlign w:val="superscript"/>
    </w:rPr>
  </w:style>
  <w:style w:type="character" w:customStyle="1" w:styleId="Symbols">
    <w:name w:val="Symbols"/>
    <w:basedOn w:val="DefaultParagraphFont"/>
    <w:rsid w:val="00353115"/>
    <w:rPr>
      <w:rFonts w:ascii="Symbol" w:hAnsi="Symbol"/>
    </w:rPr>
  </w:style>
  <w:style w:type="character" w:customStyle="1" w:styleId="MenuOptions">
    <w:name w:val="Menu Options"/>
    <w:basedOn w:val="DefaultParagraphFont"/>
    <w:rsid w:val="00353115"/>
    <w:rPr>
      <w:rFonts w:ascii="Arial Narrow" w:hAnsi="Arial Narrow"/>
      <w:smallCaps/>
    </w:rPr>
  </w:style>
  <w:style w:type="character" w:customStyle="1" w:styleId="Buttons">
    <w:name w:val="Buttons"/>
    <w:basedOn w:val="DefaultParagraphFont"/>
    <w:rsid w:val="00353115"/>
    <w:rPr>
      <w:b/>
    </w:rPr>
  </w:style>
  <w:style w:type="character" w:customStyle="1" w:styleId="Underlined">
    <w:name w:val="Underlined"/>
    <w:basedOn w:val="DefaultParagraphFont"/>
    <w:rsid w:val="00353115"/>
    <w:rPr>
      <w:u w:val="single"/>
    </w:rPr>
  </w:style>
  <w:style w:type="paragraph" w:customStyle="1" w:styleId="TableBodyTextRight">
    <w:name w:val="Table Body Text Right"/>
    <w:basedOn w:val="TableBodyText"/>
    <w:rsid w:val="00353115"/>
    <w:pPr>
      <w:widowControl w:val="0"/>
      <w:autoSpaceDE w:val="0"/>
      <w:autoSpaceDN w:val="0"/>
      <w:adjustRightInd w:val="0"/>
      <w:jc w:val="right"/>
    </w:pPr>
    <w:rPr>
      <w:rFonts w:cs="Arial"/>
      <w:szCs w:val="18"/>
    </w:rPr>
  </w:style>
  <w:style w:type="paragraph" w:customStyle="1" w:styleId="CopyrightText">
    <w:name w:val="Copyright Text"/>
    <w:basedOn w:val="BodyText"/>
    <w:rsid w:val="00353115"/>
    <w:rPr>
      <w:sz w:val="18"/>
    </w:rPr>
  </w:style>
  <w:style w:type="paragraph" w:customStyle="1" w:styleId="BodySmallRight">
    <w:name w:val="Body Small Right"/>
    <w:basedOn w:val="BodyTextRight"/>
    <w:rsid w:val="00353115"/>
    <w:rPr>
      <w:sz w:val="18"/>
      <w:szCs w:val="18"/>
    </w:rPr>
  </w:style>
  <w:style w:type="paragraph" w:customStyle="1" w:styleId="MarginEdition">
    <w:name w:val="Margin Edition"/>
    <w:basedOn w:val="MarginNote"/>
    <w:rsid w:val="00353115"/>
    <w:pPr>
      <w:spacing w:before="0" w:after="0"/>
    </w:pPr>
    <w:rPr>
      <w:rFonts w:ascii="Times New Roman" w:hAnsi="Times New Roman"/>
      <w:color w:val="999999"/>
    </w:rPr>
  </w:style>
  <w:style w:type="paragraph" w:customStyle="1" w:styleId="Spacer">
    <w:name w:val="Spacer"/>
    <w:basedOn w:val="Normal"/>
    <w:rsid w:val="00353115"/>
    <w:rPr>
      <w:sz w:val="2"/>
      <w:szCs w:val="2"/>
    </w:rPr>
  </w:style>
  <w:style w:type="character" w:customStyle="1" w:styleId="Small">
    <w:name w:val="Small"/>
    <w:basedOn w:val="DefaultParagraphFont"/>
    <w:rsid w:val="00353115"/>
    <w:rPr>
      <w:sz w:val="16"/>
    </w:rPr>
  </w:style>
  <w:style w:type="paragraph" w:customStyle="1" w:styleId="WideTable">
    <w:name w:val="Wide Table"/>
    <w:basedOn w:val="Normal"/>
    <w:rsid w:val="00353115"/>
    <w:pPr>
      <w:ind w:left="-1418"/>
    </w:pPr>
    <w:rPr>
      <w:sz w:val="2"/>
      <w:szCs w:val="2"/>
    </w:rPr>
  </w:style>
  <w:style w:type="character" w:styleId="PageNumber">
    <w:name w:val="page number"/>
    <w:basedOn w:val="DefaultParagraphFont"/>
    <w:rsid w:val="00353115"/>
  </w:style>
  <w:style w:type="paragraph" w:styleId="Quote">
    <w:name w:val="Quote"/>
    <w:basedOn w:val="Heading1"/>
    <w:link w:val="QuoteChar"/>
    <w:qFormat/>
    <w:rsid w:val="00353115"/>
    <w:rPr>
      <w:b w:val="0"/>
      <w:sz w:val="72"/>
      <w:szCs w:val="72"/>
      <w:lang w:val="en-NZ"/>
    </w:rPr>
  </w:style>
  <w:style w:type="character" w:customStyle="1" w:styleId="QuoteChar">
    <w:name w:val="Quote Char"/>
    <w:basedOn w:val="DefaultParagraphFont"/>
    <w:link w:val="Quote"/>
    <w:rsid w:val="003531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115"/>
    <w:pPr>
      <w:pageBreakBefore/>
    </w:pPr>
  </w:style>
  <w:style w:type="paragraph" w:customStyle="1" w:styleId="Border">
    <w:name w:val="Border"/>
    <w:basedOn w:val="Normal"/>
    <w:qFormat/>
    <w:rsid w:val="003531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115"/>
    <w:rPr>
      <w:b/>
      <w:bCs/>
      <w:i/>
      <w:iCs/>
      <w:color w:val="auto"/>
    </w:rPr>
  </w:style>
  <w:style w:type="paragraph" w:styleId="IntenseQuote">
    <w:name w:val="Intense Quote"/>
    <w:basedOn w:val="Normal"/>
    <w:next w:val="Normal"/>
    <w:link w:val="IntenseQuoteChar"/>
    <w:uiPriority w:val="30"/>
    <w:qFormat/>
    <w:rsid w:val="003531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1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115"/>
    <w:rPr>
      <w:smallCaps/>
      <w:color w:val="auto"/>
      <w:u w:val="single"/>
    </w:rPr>
  </w:style>
  <w:style w:type="character" w:styleId="IntenseReference">
    <w:name w:val="Intense Reference"/>
    <w:basedOn w:val="DefaultParagraphFont"/>
    <w:uiPriority w:val="32"/>
    <w:qFormat/>
    <w:rsid w:val="00353115"/>
    <w:rPr>
      <w:b/>
      <w:bCs/>
      <w:smallCaps/>
      <w:color w:val="auto"/>
      <w:spacing w:val="5"/>
      <w:u w:val="single"/>
    </w:rPr>
  </w:style>
  <w:style w:type="paragraph" w:customStyle="1" w:styleId="2ColumnHeading">
    <w:name w:val="2Column Heading"/>
    <w:basedOn w:val="BodyText"/>
    <w:qFormat/>
    <w:rsid w:val="00353115"/>
    <w:pPr>
      <w:spacing w:after="60"/>
      <w:ind w:left="-2268"/>
    </w:pPr>
    <w:rPr>
      <w:b/>
    </w:rPr>
  </w:style>
  <w:style w:type="paragraph" w:customStyle="1" w:styleId="Heading1TOC">
    <w:name w:val="Heading1 TOC"/>
    <w:basedOn w:val="Normal"/>
    <w:qFormat/>
    <w:rsid w:val="00353115"/>
    <w:pPr>
      <w:spacing w:before="240" w:after="120"/>
    </w:pPr>
    <w:rPr>
      <w:rFonts w:ascii="Times New Roman" w:hAnsi="Times New Roman"/>
      <w:b/>
      <w:sz w:val="32"/>
    </w:rPr>
  </w:style>
  <w:style w:type="paragraph" w:customStyle="1" w:styleId="Heading2TOC">
    <w:name w:val="Heading2 TOC"/>
    <w:basedOn w:val="Normal"/>
    <w:qFormat/>
    <w:rsid w:val="00353115"/>
    <w:pPr>
      <w:spacing w:before="240" w:after="60"/>
    </w:pPr>
    <w:rPr>
      <w:rFonts w:ascii="Times New Roman" w:hAnsi="Times New Roman"/>
      <w:b/>
      <w:sz w:val="28"/>
    </w:rPr>
  </w:style>
  <w:style w:type="character" w:customStyle="1" w:styleId="Underline">
    <w:name w:val="Underline"/>
    <w:basedOn w:val="DefaultParagraphFont"/>
    <w:qFormat/>
    <w:rsid w:val="00353115"/>
    <w:rPr>
      <w:u w:val="single"/>
    </w:rPr>
  </w:style>
  <w:style w:type="paragraph" w:styleId="BalloonText">
    <w:name w:val="Balloon Text"/>
    <w:basedOn w:val="Normal"/>
    <w:link w:val="BalloonTextChar"/>
    <w:rsid w:val="00353115"/>
    <w:rPr>
      <w:rFonts w:ascii="Tahoma" w:hAnsi="Tahoma" w:cs="Tahoma"/>
      <w:sz w:val="16"/>
      <w:szCs w:val="16"/>
    </w:rPr>
  </w:style>
  <w:style w:type="character" w:customStyle="1" w:styleId="BalloonTextChar">
    <w:name w:val="Balloon Text Char"/>
    <w:basedOn w:val="DefaultParagraphFont"/>
    <w:link w:val="BalloonText"/>
    <w:rsid w:val="003531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1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1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115"/>
    <w:rPr>
      <w:b/>
      <w:color w:val="660033"/>
      <w:spacing w:val="0"/>
    </w:rPr>
  </w:style>
  <w:style w:type="paragraph" w:customStyle="1" w:styleId="Nameditemlist">
    <w:name w:val="Named item list"/>
    <w:basedOn w:val="BodyText"/>
    <w:qFormat/>
    <w:rsid w:val="00353115"/>
    <w:pPr>
      <w:tabs>
        <w:tab w:val="left" w:pos="2835"/>
      </w:tabs>
      <w:ind w:left="2835" w:hanging="2835"/>
    </w:pPr>
  </w:style>
  <w:style w:type="paragraph" w:customStyle="1" w:styleId="BodyTextnopadding">
    <w:name w:val="Body Text no padding"/>
    <w:basedOn w:val="BodyText"/>
    <w:qFormat/>
    <w:rsid w:val="00353115"/>
    <w:pPr>
      <w:spacing w:before="0" w:after="0"/>
    </w:pPr>
  </w:style>
  <w:style w:type="paragraph" w:customStyle="1" w:styleId="BodyTextBold">
    <w:name w:val="Body Text Bold"/>
    <w:basedOn w:val="BodyText"/>
    <w:qFormat/>
    <w:rsid w:val="00353115"/>
    <w:rPr>
      <w:b/>
    </w:rPr>
  </w:style>
  <w:style w:type="character" w:styleId="Hyperlink">
    <w:name w:val="Hyperlink"/>
    <w:basedOn w:val="DefaultParagraphFont"/>
    <w:uiPriority w:val="99"/>
    <w:unhideWhenUsed/>
    <w:rsid w:val="00D077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5316</Characters>
  <Application>Microsoft Office Word</Application>
  <DocSecurity>0</DocSecurity>
  <Lines>231</Lines>
  <Paragraphs>124</Paragraphs>
  <ScaleCrop>false</ScaleCrop>
  <Company>Author-it Software Corporation Ltd.</Company>
  <LinksUpToDate>false</LinksUpToDate>
  <CharactersWithSpaces>5988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CPPDSM5007 Coordinate construction or renovation of facilities</dc:title>
  <dc:subject>Approved</dc:subject>
  <dc:creator>Artibus Innovation</dc:creator>
  <cp:keywords>Release: 1</cp:keywords>
  <dc:description>Review Date: 12 April 2008</dc:description>
  <cp:lastModifiedBy>HSD_TPCMSd.prod</cp:lastModifiedBy>
  <cp:revision>3</cp:revision>
  <dcterms:created xsi:type="dcterms:W3CDTF">2022-02-10T11:45:00Z</dcterms:created>
  <dcterms:modified xsi:type="dcterms:W3CDTF">2022-02-10T11:45:00Z</dcterms:modified>
</cp:coreProperties>
</file>