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820" w:rsidP="000E3820">
      <w:pPr>
        <w:pStyle w:val="Title"/>
      </w:pPr>
      <w:r>
        <w:fldChar w:fldCharType="begin"/>
      </w:r>
      <w:r>
        <w:instrText xml:space="preserve"> TITLE   \* MERGEFORMAT </w:instrText>
      </w:r>
      <w:r>
        <w:fldChar w:fldCharType="separate"/>
      </w:r>
      <w:r>
        <w:t>CPPDSM4028 Identify and analyse risks and opportunities in the property industry</w:t>
      </w:r>
      <w:r>
        <w:fldChar w:fldCharType="end"/>
      </w:r>
    </w:p>
    <w:p w:rsidR="000E3820" w:rsidP="000E3820">
      <w:pPr>
        <w:pStyle w:val="Version"/>
        <w:sectPr w:rsidSect="007E22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242" w:rsidP="007E2242">
      <w:pPr>
        <w:pStyle w:val="SuperHeading"/>
      </w:pPr>
      <w:r w:rsidRPr="007E2242">
        <w:t>CPPDSM4028 Identify and analyse risks and opportunities in the property industry</w:t>
      </w:r>
    </w:p>
    <w:p w:rsidR="00000000" w:rsidRPr="007E2242" w:rsidP="007E2242">
      <w:pPr>
        <w:pStyle w:val="Heading1"/>
      </w:pPr>
      <w:bookmarkStart w:id="1" w:name="O_864463"/>
      <w:bookmarkEnd w:id="1"/>
      <w:r w:rsidRPr="007E2242">
        <w:t>Modification History</w:t>
      </w:r>
    </w:p>
    <w:p w:rsidR="00000000" w:rsidRPr="007E2242" w:rsidP="000E3820">
      <w:pPr>
        <w:pStyle w:val="BodyText"/>
      </w:pPr>
      <w:r w:rsidRPr="007E2242">
        <w:t>Release 1.</w:t>
      </w:r>
    </w:p>
    <w:p w:rsidR="00000000" w:rsidRPr="007E2242" w:rsidP="000E3820">
      <w:pPr>
        <w:pStyle w:val="BodyText"/>
      </w:pPr>
      <w:r w:rsidRPr="007E2242">
        <w:t>Replaces superseded equivalent CPPDSM4028A Identify and analyse risks and opportunities in the property industry.</w:t>
      </w:r>
    </w:p>
    <w:p w:rsidR="00000000" w:rsidRPr="007E2242" w:rsidP="000E3820">
      <w:pPr>
        <w:pStyle w:val="BodyText"/>
      </w:pPr>
      <w:r w:rsidRPr="007E2242">
        <w:t>This version first released with CPP Property Services Training Package Version 5.</w:t>
      </w:r>
    </w:p>
    <w:p w:rsidR="00000000" w:rsidRPr="007E2242" w:rsidP="007E2242">
      <w:pPr>
        <w:pStyle w:val="Heading1"/>
      </w:pPr>
      <w:bookmarkStart w:id="2" w:name="O_864471"/>
      <w:bookmarkEnd w:id="2"/>
      <w:r w:rsidRPr="007E2242">
        <w:t>Application</w:t>
      </w:r>
    </w:p>
    <w:p w:rsidR="00000000" w:rsidRPr="007E2242" w:rsidP="000E3820">
      <w:pPr>
        <w:pStyle w:val="BodyText"/>
      </w:pPr>
      <w:r w:rsidRPr="007E2242">
        <w:t>This unit of competency specifies the outcomes required to identify and analyse potential threats and opportunities to ensure safe and effective</w:t>
      </w:r>
      <w:r w:rsidRPr="007E2242">
        <w:t xml:space="preserve"> property operations. It requires the ability to assess property systems and assets to determine the level of risk exposure and identify areas of opportunity for property operations.</w:t>
      </w:r>
    </w:p>
    <w:p w:rsidR="00000000" w:rsidRPr="007E2242" w:rsidP="000E3820">
      <w:pPr>
        <w:pStyle w:val="BodyText"/>
      </w:pPr>
      <w:r w:rsidRPr="007E2242">
        <w:t>The unit supports workers in the property industry involved in identifyi</w:t>
      </w:r>
      <w:r w:rsidRPr="007E2242">
        <w:t>ng and analysing potential threats and opportunities to ensure safe and effective property operations. It applies to real estate agents, property managers, strata managers, Nationwide House Energy Rating Scheme (NatHERS) assessors, home sustainability asse</w:t>
      </w:r>
      <w:r w:rsidRPr="007E2242">
        <w:t>ssors and facility managers.</w:t>
      </w:r>
    </w:p>
    <w:p w:rsidR="00000000" w:rsidRPr="007E2242" w:rsidP="000E3820">
      <w:pPr>
        <w:pStyle w:val="BodyText"/>
      </w:pPr>
      <w:r w:rsidRPr="007E2242">
        <w:t>Licensing, legislative, regulatory or certification requirements apply to this unit in some States and Territories. Relevant state and territory regulatory authorities should be consulted to confirm those requirements.</w:t>
      </w:r>
    </w:p>
    <w:p w:rsidR="00000000" w:rsidRPr="007E2242" w:rsidP="007E2242">
      <w:pPr>
        <w:pStyle w:val="Heading1"/>
      </w:pPr>
      <w:bookmarkStart w:id="3" w:name="O_864470"/>
      <w:bookmarkEnd w:id="3"/>
      <w:r w:rsidRPr="007E2242">
        <w:t>Pre-requisite Unit</w:t>
      </w:r>
    </w:p>
    <w:p w:rsidR="00000000" w:rsidRPr="007E2242" w:rsidP="000E3820">
      <w:pPr>
        <w:pStyle w:val="BodyText"/>
      </w:pPr>
      <w:r w:rsidRPr="007E2242">
        <w:t>Nil</w:t>
      </w:r>
    </w:p>
    <w:p w:rsidR="00000000" w:rsidRPr="007E2242" w:rsidP="007E2242">
      <w:pPr>
        <w:pStyle w:val="Heading1"/>
      </w:pPr>
      <w:bookmarkStart w:id="4" w:name="O_864469"/>
      <w:bookmarkEnd w:id="4"/>
      <w:r w:rsidRPr="007E2242">
        <w:t>Competency Field</w:t>
      </w:r>
    </w:p>
    <w:p w:rsidR="00000000" w:rsidRPr="007E2242" w:rsidP="000E3820">
      <w:pPr>
        <w:pStyle w:val="BodyText"/>
      </w:pPr>
      <w:r w:rsidRPr="007E2242">
        <w:t>Strata community management</w:t>
      </w:r>
    </w:p>
    <w:p w:rsidR="00000000" w:rsidRPr="007E2242" w:rsidP="007E2242">
      <w:pPr>
        <w:pStyle w:val="Heading1"/>
      </w:pPr>
      <w:bookmarkStart w:id="5" w:name="O_864468"/>
      <w:bookmarkEnd w:id="5"/>
      <w:r w:rsidRPr="007E2242">
        <w:t>Unit Sector</w:t>
      </w:r>
    </w:p>
    <w:p w:rsidR="00000000" w:rsidRPr="007E2242" w:rsidP="000E3820">
      <w:pPr>
        <w:pStyle w:val="BodyText"/>
      </w:pPr>
      <w:r w:rsidRPr="007E2242">
        <w:t>Property services</w:t>
      </w:r>
    </w:p>
    <w:p w:rsidR="00000000" w:rsidRPr="007E2242" w:rsidP="007E2242">
      <w:pPr>
        <w:pStyle w:val="Heading1"/>
      </w:pPr>
      <w:bookmarkStart w:id="6" w:name="O_864467"/>
      <w:bookmarkEnd w:id="6"/>
      <w:r w:rsidRPr="007E2242">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7E2242">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Performance criteria</w:t>
            </w:r>
            <w:r w:rsidRPr="007E2242">
              <w:t xml:space="preserve"> describe the performance needed to demonstrate achievement of the element. Where bold italicised text is used, further information is detailed in the range of conditions.</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1.</w:t>
            </w:r>
          </w:p>
        </w:tc>
        <w:tc>
          <w:tcPr>
            <w:tcW w:w="1936" w:type="dxa"/>
            <w:vMerge w:val="restart"/>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Identify risks and opportunities.</w:t>
            </w: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1.1.</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 xml:space="preserve">Information on actual and potential </w:t>
            </w:r>
            <w:r w:rsidRPr="007E2242">
              <w:rPr>
                <w:rStyle w:val="BoldandItalics"/>
              </w:rPr>
              <w:t>risks</w:t>
            </w:r>
            <w:r w:rsidRPr="007E2242">
              <w:t xml:space="preserve"> and </w:t>
            </w:r>
            <w:r w:rsidRPr="007E2242">
              <w:rPr>
                <w:rStyle w:val="BoldandItalics"/>
              </w:rPr>
              <w:t>opportunities</w:t>
            </w:r>
            <w:r w:rsidRPr="007E2242">
              <w:t xml:space="preserve"> is collected and assessed for currency, accuracy and relevance.</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1.2.</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Structured plan for identifying and assessing likelihood of risk and opportunity is developed.</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1.3.</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Limitations in identifying and assessing risks and opportunities are recognised, and assistance is sought as required.</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2.</w:t>
            </w:r>
          </w:p>
        </w:tc>
        <w:tc>
          <w:tcPr>
            <w:tcW w:w="1936" w:type="dxa"/>
            <w:vMerge w:val="restart"/>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Analyse risks and opportunities.</w:t>
            </w: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2.1.</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Identified risks and opportunities are analysed for validity and reliability.</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2.2.</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Assessment criteria for measuring level of potential or existing risk or opportunity, together with an assessment of consequences, are developed according to terms of reference.</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2.3.</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 xml:space="preserve">Gaps in assessment methodology are identified and appropriate actions </w:t>
            </w:r>
            <w:r w:rsidRPr="007E2242">
              <w:t>implemented.</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2.4.</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Valid and relevant data is analysed against assessment criteria to determine level of potential risk or opportunity.</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3.</w:t>
            </w:r>
          </w:p>
        </w:tc>
        <w:tc>
          <w:tcPr>
            <w:tcW w:w="1936" w:type="dxa"/>
            <w:vMerge w:val="restart"/>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Document findings.</w:t>
            </w: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3.1.</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Risk and opportunity assessment findings are documented.</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3.2.</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Feedback on findings is actively sought to ensure accuracy and relevance of information.</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3.3.</w:t>
            </w:r>
          </w:p>
        </w:tc>
        <w:tc>
          <w:tcPr>
            <w:tcW w:w="561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Findings are updated as required and incorporated into risk and opportunity assessment plan for future management decision making.</w:t>
            </w:r>
          </w:p>
        </w:tc>
      </w:tr>
      <w:tr w:rsidTr="007E2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3.4.</w:t>
            </w:r>
          </w:p>
        </w:tc>
        <w:tc>
          <w:tcPr>
            <w:tcW w:w="5610" w:type="dxa"/>
            <w:tcBorders>
              <w:top w:val="nil"/>
              <w:left w:val="nil"/>
              <w:bottom w:val="nil"/>
              <w:right w:val="nil"/>
            </w:tcBorders>
            <w:tcMar>
              <w:top w:w="0" w:type="dxa"/>
              <w:left w:w="62" w:type="dxa"/>
              <w:bottom w:w="0" w:type="dxa"/>
              <w:right w:w="62" w:type="dxa"/>
            </w:tcMar>
          </w:tcPr>
          <w:p w:rsidR="00000000" w:rsidRPr="007E2242" w:rsidP="007E2242">
            <w:pPr>
              <w:pStyle w:val="BodyText"/>
            </w:pPr>
            <w:r w:rsidRPr="007E2242">
              <w:t>Information is securely maintained with due regard to confidentiality.</w:t>
            </w:r>
          </w:p>
        </w:tc>
      </w:tr>
    </w:tbl>
    <w:p w:rsidR="00000000" w:rsidRPr="007E2242" w:rsidP="007E2242">
      <w:pPr>
        <w:pStyle w:val="BodyText"/>
      </w:pPr>
    </w:p>
    <w:p w:rsidR="00000000" w:rsidRPr="007E2242" w:rsidP="007E2242">
      <w:pPr>
        <w:pStyle w:val="AllowPageBreak"/>
      </w:pPr>
    </w:p>
    <w:p w:rsidR="00000000" w:rsidRPr="007E2242" w:rsidP="007E2242">
      <w:pPr>
        <w:pStyle w:val="Heading1"/>
      </w:pPr>
      <w:bookmarkStart w:id="7" w:name="O_864466"/>
      <w:bookmarkEnd w:id="7"/>
      <w:r w:rsidRPr="007E2242">
        <w:t>Foundation Skills</w:t>
      </w:r>
    </w:p>
    <w:tbl>
      <w:tblPr>
        <w:tblW w:w="0" w:type="auto"/>
        <w:tblLayout w:type="fixed"/>
        <w:tblCellMar>
          <w:left w:w="62" w:type="dxa"/>
          <w:right w:w="62" w:type="dxa"/>
        </w:tblCellMar>
        <w:tblLook w:val="0000"/>
      </w:tblPr>
      <w:tblGrid>
        <w:gridCol w:w="2195"/>
        <w:gridCol w:w="6877"/>
      </w:tblGrid>
      <w:tr w:rsidTr="007E22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This section describes the language, literacy, numeracy and employment skills essential to performance in this unit but not explicit in the performa</w:t>
            </w:r>
            <w:r w:rsidRPr="007E2242">
              <w:t>nce criteria.</w:t>
            </w:r>
          </w:p>
        </w:tc>
      </w:tr>
      <w:tr w:rsidTr="007E2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E2242" w:rsidP="007E2242">
            <w:pPr>
              <w:pStyle w:val="BodyText"/>
            </w:pPr>
            <w:r w:rsidRPr="007E224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rPr>
                <w:rStyle w:val="SpecialBold"/>
              </w:rPr>
              <w:t>Performance feature</w:t>
            </w:r>
          </w:p>
        </w:tc>
      </w:tr>
      <w:tr w:rsidTr="007E2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Learning skills to:</w:t>
            </w:r>
          </w:p>
        </w:tc>
        <w:tc>
          <w:tcPr>
            <w:tcW w:w="6877" w:type="dxa"/>
            <w:tcBorders>
              <w:top w:val="nil"/>
              <w:left w:val="nil"/>
              <w:bottom w:val="nil"/>
              <w:right w:val="nil"/>
            </w:tcBorders>
            <w:tcMar>
              <w:top w:w="0" w:type="dxa"/>
              <w:left w:w="62" w:type="dxa"/>
              <w:bottom w:w="0" w:type="dxa"/>
              <w:right w:w="62" w:type="dxa"/>
            </w:tcMar>
          </w:tcPr>
          <w:p w:rsidR="00000000" w:rsidP="007E2242">
            <w:pPr>
              <w:pStyle w:val="ListBullet"/>
              <w:rPr>
                <w:lang w:val="en-NZ"/>
              </w:rPr>
            </w:pPr>
            <w:r w:rsidRPr="007E2242">
              <w:t>maintain current knowledge of routine risk identification and reporting procedures.</w:t>
            </w:r>
          </w:p>
        </w:tc>
      </w:tr>
      <w:tr w:rsidTr="007E2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Numeracy skills to:</w:t>
            </w:r>
          </w:p>
        </w:tc>
        <w:tc>
          <w:tcPr>
            <w:tcW w:w="6877" w:type="dxa"/>
            <w:tcBorders>
              <w:top w:val="nil"/>
              <w:left w:val="nil"/>
              <w:bottom w:val="nil"/>
              <w:right w:val="nil"/>
            </w:tcBorders>
            <w:tcMar>
              <w:top w:w="0" w:type="dxa"/>
              <w:left w:w="62" w:type="dxa"/>
              <w:bottom w:w="0" w:type="dxa"/>
              <w:right w:w="62" w:type="dxa"/>
            </w:tcMar>
          </w:tcPr>
          <w:p w:rsidR="00000000" w:rsidP="007E2242">
            <w:pPr>
              <w:pStyle w:val="ListBullet"/>
              <w:rPr>
                <w:lang w:val="en-NZ"/>
              </w:rPr>
            </w:pPr>
            <w:r w:rsidRPr="007E2242">
              <w:t>interpret routine graphical and statistical information to analyse occurrence of risks in the property industry.</w:t>
            </w:r>
          </w:p>
        </w:tc>
      </w:tr>
      <w:tr w:rsidTr="007E2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7E2242">
            <w:pPr>
              <w:pStyle w:val="ListBullet"/>
              <w:rPr>
                <w:lang w:val="en-NZ"/>
              </w:rPr>
            </w:pPr>
            <w:r w:rsidRPr="007E2242">
              <w:t>ask questions to clarify scope of own responsibility with regard to identifying and reporting risks and opportu</w:t>
            </w:r>
            <w:r w:rsidRPr="007E2242">
              <w:t>nities.</w:t>
            </w:r>
          </w:p>
        </w:tc>
      </w:tr>
      <w:tr w:rsidTr="007E2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Reading skills to:</w:t>
            </w:r>
          </w:p>
        </w:tc>
        <w:tc>
          <w:tcPr>
            <w:tcW w:w="6877" w:type="dxa"/>
            <w:tcBorders>
              <w:top w:val="nil"/>
              <w:left w:val="nil"/>
              <w:bottom w:val="nil"/>
              <w:right w:val="nil"/>
            </w:tcBorders>
            <w:tcMar>
              <w:top w:w="0" w:type="dxa"/>
              <w:left w:w="62" w:type="dxa"/>
              <w:bottom w:w="0" w:type="dxa"/>
              <w:right w:w="62" w:type="dxa"/>
            </w:tcMar>
          </w:tcPr>
          <w:p w:rsidR="00000000" w:rsidP="007E2242">
            <w:pPr>
              <w:pStyle w:val="ListBullet"/>
              <w:rPr>
                <w:lang w:val="en-NZ"/>
              </w:rPr>
            </w:pPr>
            <w:r w:rsidRPr="007E2242">
              <w:t>read and interpret routine workplace documents on own responsibility for identifying and reporting risks.</w:t>
            </w:r>
          </w:p>
        </w:tc>
      </w:tr>
      <w:tr w:rsidTr="007E2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Writing skills to:</w:t>
            </w:r>
          </w:p>
        </w:tc>
        <w:tc>
          <w:tcPr>
            <w:tcW w:w="6877" w:type="dxa"/>
            <w:tcBorders>
              <w:top w:val="nil"/>
              <w:left w:val="nil"/>
              <w:bottom w:val="nil"/>
              <w:right w:val="nil"/>
            </w:tcBorders>
            <w:tcMar>
              <w:top w:w="0" w:type="dxa"/>
              <w:left w:w="62" w:type="dxa"/>
              <w:bottom w:w="0" w:type="dxa"/>
              <w:right w:w="62" w:type="dxa"/>
            </w:tcMar>
          </w:tcPr>
          <w:p w:rsidR="00000000" w:rsidP="007E2242">
            <w:pPr>
              <w:pStyle w:val="ListBullet"/>
              <w:rPr>
                <w:lang w:val="en-NZ"/>
              </w:rPr>
            </w:pPr>
            <w:r w:rsidRPr="007E2242">
              <w:t>prepare routine documentation, including emails, memos and letters, to report risks and opportunitie</w:t>
            </w:r>
            <w:r w:rsidRPr="007E2242">
              <w:t>s.</w:t>
            </w:r>
          </w:p>
        </w:tc>
      </w:tr>
      <w:tr w:rsidTr="007E2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Technology skills to:</w:t>
            </w:r>
          </w:p>
        </w:tc>
        <w:tc>
          <w:tcPr>
            <w:tcW w:w="6877" w:type="dxa"/>
            <w:tcBorders>
              <w:top w:val="nil"/>
              <w:left w:val="nil"/>
              <w:bottom w:val="nil"/>
              <w:right w:val="nil"/>
            </w:tcBorders>
            <w:tcMar>
              <w:top w:w="0" w:type="dxa"/>
              <w:left w:w="62" w:type="dxa"/>
              <w:bottom w:w="0" w:type="dxa"/>
              <w:right w:w="62" w:type="dxa"/>
            </w:tcMar>
          </w:tcPr>
          <w:p w:rsidR="00000000" w:rsidRPr="007E2242" w:rsidP="007E2242">
            <w:pPr>
              <w:pStyle w:val="ListBullet"/>
            </w:pPr>
            <w:r w:rsidRPr="007E2242">
              <w:t>use business technology to access online information about routine risks and opportunities in the property industry.</w:t>
            </w:r>
          </w:p>
        </w:tc>
      </w:tr>
    </w:tbl>
    <w:p w:rsidR="00000000" w:rsidRPr="007E2242" w:rsidP="007E2242">
      <w:pPr>
        <w:pStyle w:val="BodyText"/>
      </w:pPr>
    </w:p>
    <w:p w:rsidR="00000000" w:rsidRPr="007E2242" w:rsidP="007E2242">
      <w:pPr>
        <w:pStyle w:val="AllowPageBreak"/>
      </w:pPr>
    </w:p>
    <w:p w:rsidR="00000000" w:rsidRPr="007E2242" w:rsidP="007E2242">
      <w:pPr>
        <w:pStyle w:val="Heading1"/>
      </w:pPr>
      <w:bookmarkStart w:id="8" w:name="O_864465"/>
      <w:bookmarkEnd w:id="8"/>
      <w:r w:rsidRPr="007E2242">
        <w:t>Range of Conditions</w:t>
      </w:r>
    </w:p>
    <w:tbl>
      <w:tblPr>
        <w:tblW w:w="0" w:type="auto"/>
        <w:tblLayout w:type="fixed"/>
        <w:tblCellMar>
          <w:left w:w="62" w:type="dxa"/>
          <w:right w:w="62" w:type="dxa"/>
        </w:tblCellMar>
        <w:tblLook w:val="0000"/>
      </w:tblPr>
      <w:tblGrid>
        <w:gridCol w:w="2520"/>
        <w:gridCol w:w="7"/>
        <w:gridCol w:w="6545"/>
      </w:tblGrid>
      <w:tr w:rsidTr="007E224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t>This section specifies work environments and conditions that may affect performance. Essential operating conditions that may be present (depending on the work situation, needs of the candidate, accessibility of the item, and local industry and regional con</w:t>
            </w:r>
            <w:r w:rsidRPr="007E2242">
              <w:t>texts) are included. Bold italicised wording, if used in the performance criteria, is detailed below.</w:t>
            </w:r>
          </w:p>
        </w:tc>
      </w:tr>
      <w:tr w:rsidTr="007E2242">
        <w:tblPrEx>
          <w:tblW w:w="0" w:type="auto"/>
          <w:tblLayout w:type="fixed"/>
          <w:tblCellMar>
            <w:left w:w="62" w:type="dxa"/>
            <w:right w:w="62" w:type="dxa"/>
          </w:tblCellMar>
          <w:tblLook w:val="0000"/>
        </w:tblPrEx>
        <w:tc>
          <w:tcPr>
            <w:tcW w:w="2527" w:type="dxa"/>
            <w:gridSpan w:val="2"/>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rPr>
                <w:rStyle w:val="BoldandItalics"/>
              </w:rPr>
              <w:t>Risks</w:t>
            </w:r>
            <w:r w:rsidRPr="007E2242">
              <w:t xml:space="preserve"> must include at least three of the following:</w:t>
            </w:r>
          </w:p>
        </w:tc>
        <w:tc>
          <w:tcPr>
            <w:tcW w:w="6545" w:type="dxa"/>
            <w:tcBorders>
              <w:top w:val="nil"/>
              <w:left w:val="nil"/>
              <w:bottom w:val="nil"/>
              <w:right w:val="nil"/>
            </w:tcBorders>
            <w:tcMar>
              <w:top w:w="0" w:type="dxa"/>
              <w:left w:w="62" w:type="dxa"/>
              <w:bottom w:w="0" w:type="dxa"/>
              <w:right w:w="62" w:type="dxa"/>
            </w:tcMar>
          </w:tcPr>
          <w:p w:rsidR="00000000" w:rsidRPr="007E2242" w:rsidP="007E2242">
            <w:pPr>
              <w:pStyle w:val="ListBullet"/>
            </w:pPr>
            <w:r w:rsidRPr="007E2242">
              <w:t>deliberate, natural, accidental or perceived risks</w:t>
            </w:r>
          </w:p>
          <w:p w:rsidR="00000000" w:rsidRPr="007E2242" w:rsidP="007E2242">
            <w:pPr>
              <w:pStyle w:val="ListBullet"/>
            </w:pPr>
            <w:r w:rsidRPr="007E2242">
              <w:t>industry special risks</w:t>
            </w:r>
          </w:p>
          <w:p w:rsidR="00000000" w:rsidRPr="007E2242" w:rsidP="007E2242">
            <w:pPr>
              <w:pStyle w:val="ListBullet"/>
            </w:pPr>
            <w:r w:rsidRPr="007E2242">
              <w:t>loss of goodwill, reputation or credibility</w:t>
            </w:r>
          </w:p>
          <w:p w:rsidR="00000000" w:rsidRPr="007E2242" w:rsidP="007E2242">
            <w:pPr>
              <w:pStyle w:val="ListBullet"/>
            </w:pPr>
            <w:r w:rsidRPr="007E2242">
              <w:t>loss of profits</w:t>
            </w:r>
          </w:p>
          <w:p w:rsidR="00000000" w:rsidRPr="007E2242" w:rsidP="007E2242">
            <w:pPr>
              <w:pStyle w:val="ListBullet"/>
            </w:pPr>
            <w:r w:rsidRPr="007E2242">
              <w:t>loss, disclosure, destruction or compromise of asset</w:t>
            </w:r>
          </w:p>
          <w:p w:rsidR="00000000" w:rsidRPr="007E2242" w:rsidP="007E2242">
            <w:pPr>
              <w:pStyle w:val="ListBullet"/>
            </w:pPr>
            <w:r w:rsidRPr="007E2242">
              <w:t>equipment malfunction</w:t>
            </w:r>
          </w:p>
          <w:p w:rsidR="00000000" w:rsidRPr="007E2242" w:rsidP="007E2242">
            <w:pPr>
              <w:pStyle w:val="ListBullet"/>
            </w:pPr>
            <w:r w:rsidRPr="007E2242">
              <w:t>work health and safety (WHS)</w:t>
            </w:r>
          </w:p>
          <w:p w:rsidR="00000000" w:rsidRPr="007E2242" w:rsidP="007E2242">
            <w:pPr>
              <w:pStyle w:val="ListBullet"/>
            </w:pPr>
            <w:r w:rsidRPr="007E2242">
              <w:t>public liability</w:t>
            </w:r>
          </w:p>
          <w:p w:rsidR="00000000" w:rsidP="007E2242">
            <w:pPr>
              <w:pStyle w:val="ListBullet"/>
              <w:rPr>
                <w:lang w:val="en-NZ"/>
              </w:rPr>
            </w:pPr>
            <w:r w:rsidRPr="007E2242">
              <w:t>trade practices issues.</w:t>
            </w:r>
          </w:p>
        </w:tc>
      </w:tr>
      <w:tr w:rsidTr="007E2242">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7E2242">
            <w:pPr>
              <w:pStyle w:val="BodyText"/>
              <w:rPr>
                <w:lang w:val="en-NZ"/>
              </w:rPr>
            </w:pPr>
            <w:r w:rsidRPr="007E2242">
              <w:rPr>
                <w:rStyle w:val="BoldandItalics"/>
              </w:rPr>
              <w:t>Opportunities</w:t>
            </w:r>
            <w:r w:rsidRPr="007E2242">
              <w:t xml:space="preserve"> must include at least four of the fo</w:t>
            </w:r>
            <w:r w:rsidRPr="007E2242">
              <w:t>llowing:</w:t>
            </w:r>
          </w:p>
        </w:tc>
        <w:tc>
          <w:tcPr>
            <w:tcW w:w="6552" w:type="dxa"/>
            <w:gridSpan w:val="2"/>
            <w:tcBorders>
              <w:top w:val="nil"/>
              <w:left w:val="nil"/>
              <w:bottom w:val="nil"/>
              <w:right w:val="nil"/>
            </w:tcBorders>
            <w:tcMar>
              <w:top w:w="0" w:type="dxa"/>
              <w:left w:w="62" w:type="dxa"/>
              <w:bottom w:w="0" w:type="dxa"/>
              <w:right w:w="62" w:type="dxa"/>
            </w:tcMar>
          </w:tcPr>
          <w:p w:rsidR="00000000" w:rsidRPr="007E2242" w:rsidP="007E2242">
            <w:pPr>
              <w:pStyle w:val="ListBullet"/>
            </w:pPr>
            <w:r w:rsidRPr="007E2242">
              <w:t>adding value</w:t>
            </w:r>
          </w:p>
          <w:p w:rsidR="00000000" w:rsidRPr="007E2242" w:rsidP="007E2242">
            <w:pPr>
              <w:pStyle w:val="ListBullet"/>
            </w:pPr>
            <w:r w:rsidRPr="007E2242">
              <w:t>aggregation of assets</w:t>
            </w:r>
          </w:p>
          <w:p w:rsidR="00000000" w:rsidRPr="007E2242" w:rsidP="007E2242">
            <w:pPr>
              <w:pStyle w:val="ListBullet"/>
            </w:pPr>
            <w:r w:rsidRPr="007E2242">
              <w:t>altering existing property or facility</w:t>
            </w:r>
          </w:p>
          <w:p w:rsidR="00000000" w:rsidRPr="007E2242" w:rsidP="007E2242">
            <w:pPr>
              <w:pStyle w:val="ListBullet"/>
            </w:pPr>
            <w:r w:rsidRPr="007E2242">
              <w:t>change in use, ownership, appearance and perception of property or facility</w:t>
            </w:r>
          </w:p>
          <w:p w:rsidR="00000000" w:rsidRPr="007E2242" w:rsidP="007E2242">
            <w:pPr>
              <w:pStyle w:val="ListBullet"/>
            </w:pPr>
            <w:r w:rsidRPr="007E2242">
              <w:t>changing style of investment</w:t>
            </w:r>
          </w:p>
          <w:p w:rsidR="00000000" w:rsidRPr="007E2242" w:rsidP="007E2242">
            <w:pPr>
              <w:pStyle w:val="ListBullet"/>
            </w:pPr>
            <w:r w:rsidRPr="007E2242">
              <w:t>creating something new</w:t>
            </w:r>
          </w:p>
          <w:p w:rsidR="00000000" w:rsidRPr="007E2242" w:rsidP="007E2242">
            <w:pPr>
              <w:pStyle w:val="ListBullet"/>
            </w:pPr>
            <w:r w:rsidRPr="007E2242">
              <w:t>use of bankers and financiers.</w:t>
            </w:r>
          </w:p>
        </w:tc>
      </w:tr>
    </w:tbl>
    <w:p w:rsidR="00000000" w:rsidRPr="007E2242" w:rsidP="007E2242">
      <w:pPr>
        <w:pStyle w:val="BodyText"/>
      </w:pPr>
    </w:p>
    <w:p w:rsidR="00000000" w:rsidRPr="007E2242" w:rsidP="007E2242">
      <w:pPr>
        <w:pStyle w:val="AllowPageBreak"/>
      </w:pPr>
    </w:p>
    <w:p w:rsidR="00000000" w:rsidRPr="007E2242" w:rsidP="007E2242">
      <w:pPr>
        <w:pStyle w:val="Heading1"/>
      </w:pPr>
      <w:bookmarkStart w:id="9" w:name="O_864464"/>
      <w:bookmarkEnd w:id="9"/>
      <w:r w:rsidRPr="007E2242">
        <w:t>Unit Mapping Information</w:t>
      </w:r>
    </w:p>
    <w:p w:rsidR="00000000" w:rsidRPr="007E2242" w:rsidP="000E3820">
      <w:pPr>
        <w:pStyle w:val="BodyText"/>
      </w:pPr>
      <w:r w:rsidRPr="007E2242">
        <w:t>CPPDSM4028A Identify and analyse risks and opportunities in the property industry</w:t>
      </w:r>
    </w:p>
    <w:p w:rsidR="00000000" w:rsidRPr="007E2242" w:rsidP="007E2242">
      <w:pPr>
        <w:pStyle w:val="Heading1"/>
      </w:pPr>
      <w:bookmarkStart w:id="10" w:name="O_864457"/>
      <w:bookmarkEnd w:id="10"/>
      <w:r w:rsidRPr="007E2242">
        <w:t>Links</w:t>
      </w:r>
    </w:p>
    <w:p w:rsidR="00000000" w:rsidRPr="007E2242" w:rsidP="000E3820">
      <w:pPr>
        <w:pStyle w:val="BodyText"/>
      </w:pPr>
      <w:r w:rsidRPr="007E224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47A1">
        <w:rPr>
          <w:rStyle w:val="Hyperlink"/>
        </w:rPr>
        <w:t>https://vetnet.gov.au/Pages/TrainingDocs.aspx?q=6f3f9672-30e8-4835-b348-205dfcf13d9b</w:t>
      </w:r>
      <w:r>
        <w:fldChar w:fldCharType="end"/>
      </w:r>
    </w:p>
    <w:p w:rsidR="00000000" w:rsidRPr="007E2242" w:rsidP="007E2242"/>
    <w:sectPr w:rsidSect="007E22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42" w:rsidRPr="000E3820" w:rsidP="000E3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20" w:rsidP="007E2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3820" w:rsidP="007E224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0E3820" w:rsidP="007E22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242" w:rsidRPr="000E3820" w:rsidP="000E3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20" w:rsidRPr="002D2AF8" w:rsidP="007E2242">
    <w:pPr>
      <w:pStyle w:val="Header"/>
      <w:framePr w:wrap="around"/>
    </w:pPr>
    <w:r>
      <w:fldChar w:fldCharType="begin"/>
    </w:r>
    <w:r>
      <w:instrText xml:space="preserve"> TITLE   \* MERGEFORMAT </w:instrText>
    </w:r>
    <w:r>
      <w:fldChar w:fldCharType="separate"/>
    </w:r>
    <w:r>
      <w:t>CPPDSM4028 Identify and analyse risks and opportunities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E3820" w:rsidP="007E2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FCF9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F26A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242"/>
    <w:pPr>
      <w:spacing w:before="360" w:after="60"/>
      <w:outlineLvl w:val="0"/>
    </w:pPr>
    <w:rPr>
      <w:sz w:val="32"/>
    </w:rPr>
  </w:style>
  <w:style w:type="paragraph" w:styleId="Heading2">
    <w:name w:val="heading 2"/>
    <w:basedOn w:val="HeadingBase"/>
    <w:next w:val="BodyText"/>
    <w:link w:val="Heading2Char"/>
    <w:qFormat/>
    <w:rsid w:val="007E2242"/>
    <w:pPr>
      <w:keepLines/>
      <w:spacing w:before="240" w:after="120"/>
      <w:outlineLvl w:val="1"/>
    </w:pPr>
    <w:rPr>
      <w:sz w:val="28"/>
      <w:szCs w:val="40"/>
    </w:rPr>
  </w:style>
  <w:style w:type="paragraph" w:styleId="Heading3">
    <w:name w:val="heading 3"/>
    <w:basedOn w:val="HeadingBase"/>
    <w:next w:val="BodyText"/>
    <w:link w:val="Heading3Char"/>
    <w:qFormat/>
    <w:rsid w:val="007E2242"/>
    <w:pPr>
      <w:spacing w:before="180" w:after="120"/>
      <w:outlineLvl w:val="2"/>
    </w:pPr>
    <w:rPr>
      <w:spacing w:val="-10"/>
      <w:kern w:val="32"/>
    </w:rPr>
  </w:style>
  <w:style w:type="paragraph" w:styleId="Heading4">
    <w:name w:val="heading 4"/>
    <w:basedOn w:val="HeadingBase"/>
    <w:next w:val="BodyText"/>
    <w:link w:val="Heading4Char"/>
    <w:qFormat/>
    <w:rsid w:val="007E2242"/>
    <w:pPr>
      <w:spacing w:before="160" w:after="120"/>
      <w:outlineLvl w:val="3"/>
    </w:pPr>
    <w:rPr>
      <w:sz w:val="22"/>
    </w:rPr>
  </w:style>
  <w:style w:type="paragraph" w:styleId="Heading5">
    <w:name w:val="heading 5"/>
    <w:basedOn w:val="HeadingBase"/>
    <w:next w:val="Normal"/>
    <w:link w:val="Heading5Char"/>
    <w:qFormat/>
    <w:rsid w:val="007E2242"/>
    <w:pPr>
      <w:spacing w:before="80"/>
      <w:outlineLvl w:val="4"/>
    </w:pPr>
    <w:rPr>
      <w:color w:val="918585"/>
      <w:sz w:val="20"/>
    </w:rPr>
  </w:style>
  <w:style w:type="paragraph" w:styleId="Heading6">
    <w:name w:val="heading 6"/>
    <w:basedOn w:val="HeadingBase"/>
    <w:next w:val="Normal"/>
    <w:link w:val="Heading6Char"/>
    <w:qFormat/>
    <w:rsid w:val="007E2242"/>
    <w:pPr>
      <w:spacing w:before="60"/>
      <w:outlineLvl w:val="5"/>
    </w:pPr>
    <w:rPr>
      <w:color w:val="918585"/>
      <w:sz w:val="20"/>
    </w:rPr>
  </w:style>
  <w:style w:type="paragraph" w:styleId="Heading7">
    <w:name w:val="heading 7"/>
    <w:basedOn w:val="Normal"/>
    <w:next w:val="Normal"/>
    <w:link w:val="Heading7Char"/>
    <w:qFormat/>
    <w:rsid w:val="007E2242"/>
    <w:pPr>
      <w:ind w:left="720"/>
      <w:outlineLvl w:val="6"/>
    </w:pPr>
    <w:rPr>
      <w:i/>
    </w:rPr>
  </w:style>
  <w:style w:type="paragraph" w:styleId="Heading8">
    <w:name w:val="heading 8"/>
    <w:basedOn w:val="Normal"/>
    <w:next w:val="Normal"/>
    <w:link w:val="Heading8Char"/>
    <w:qFormat/>
    <w:rsid w:val="007E2242"/>
    <w:pPr>
      <w:ind w:left="720"/>
      <w:outlineLvl w:val="7"/>
    </w:pPr>
    <w:rPr>
      <w:i/>
    </w:rPr>
  </w:style>
  <w:style w:type="paragraph" w:styleId="Heading9">
    <w:name w:val="heading 9"/>
    <w:basedOn w:val="Normal"/>
    <w:next w:val="Normal"/>
    <w:link w:val="Heading9Char"/>
    <w:qFormat/>
    <w:rsid w:val="007E2242"/>
    <w:pPr>
      <w:ind w:left="720"/>
      <w:outlineLvl w:val="8"/>
    </w:pPr>
    <w:rPr>
      <w:i/>
    </w:rPr>
  </w:style>
  <w:style w:type="character" w:default="1" w:styleId="DefaultParagraphFont">
    <w:name w:val="Default Paragraph Font"/>
    <w:uiPriority w:val="1"/>
    <w:unhideWhenUsed/>
    <w:rsid w:val="007E2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242"/>
  </w:style>
  <w:style w:type="character" w:customStyle="1" w:styleId="Heading1Char">
    <w:name w:val="Heading 1 Char"/>
    <w:basedOn w:val="DefaultParagraphFont"/>
    <w:link w:val="Heading1"/>
    <w:rsid w:val="007E2242"/>
    <w:rPr>
      <w:rFonts w:ascii="Times New Roman" w:eastAsia="Times New Roman" w:hAnsi="Times New Roman" w:cs="Times New Roman"/>
      <w:b/>
      <w:sz w:val="32"/>
      <w:szCs w:val="20"/>
      <w:lang w:eastAsia="en-US"/>
    </w:rPr>
  </w:style>
  <w:style w:type="paragraph" w:styleId="BodyText">
    <w:name w:val="Body Text"/>
    <w:basedOn w:val="Normal"/>
    <w:link w:val="BodyTextChar"/>
    <w:rsid w:val="007E22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242"/>
    <w:rPr>
      <w:rFonts w:ascii="Times New Roman" w:eastAsia="Times New Roman" w:hAnsi="Times New Roman" w:cs="Times New Roman"/>
      <w:sz w:val="24"/>
      <w:lang w:eastAsia="en-US"/>
    </w:rPr>
  </w:style>
  <w:style w:type="paragraph" w:styleId="ListBullet">
    <w:name w:val="List Bullet"/>
    <w:basedOn w:val="List"/>
    <w:rsid w:val="007E2242"/>
    <w:pPr>
      <w:numPr>
        <w:numId w:val="11"/>
      </w:numPr>
      <w:tabs>
        <w:tab w:val="clear" w:pos="340"/>
      </w:tabs>
      <w:spacing w:before="40" w:after="40"/>
    </w:pPr>
  </w:style>
  <w:style w:type="character" w:customStyle="1" w:styleId="SpecialBold">
    <w:name w:val="Special Bold"/>
    <w:basedOn w:val="DefaultParagraphFont"/>
    <w:rsid w:val="007E2242"/>
    <w:rPr>
      <w:b/>
      <w:spacing w:val="0"/>
    </w:rPr>
  </w:style>
  <w:style w:type="paragraph" w:customStyle="1" w:styleId="SuperHeading">
    <w:name w:val="SuperHeading"/>
    <w:basedOn w:val="Normal"/>
    <w:rsid w:val="007E2242"/>
    <w:pPr>
      <w:spacing w:before="240" w:after="120"/>
      <w:outlineLvl w:val="0"/>
    </w:pPr>
    <w:rPr>
      <w:rFonts w:ascii="Times New Roman" w:hAnsi="Times New Roman"/>
      <w:b/>
      <w:sz w:val="32"/>
    </w:rPr>
  </w:style>
  <w:style w:type="paragraph" w:customStyle="1" w:styleId="AllowPageBreak">
    <w:name w:val="AllowPageBreak"/>
    <w:rsid w:val="007E22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2242"/>
    <w:rPr>
      <w:b/>
      <w:i/>
      <w:u w:val="none"/>
    </w:rPr>
  </w:style>
  <w:style w:type="character" w:customStyle="1" w:styleId="Heading2Char">
    <w:name w:val="Heading 2 Char"/>
    <w:basedOn w:val="DefaultParagraphFont"/>
    <w:link w:val="Heading2"/>
    <w:rsid w:val="007E2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242"/>
    <w:rPr>
      <w:rFonts w:ascii="Courier New" w:eastAsia="Times New Roman" w:hAnsi="Courier New" w:cs="Times New Roman"/>
      <w:i/>
      <w:szCs w:val="20"/>
      <w:lang w:eastAsia="en-US"/>
    </w:rPr>
  </w:style>
  <w:style w:type="paragraph" w:customStyle="1" w:styleId="HeadingBase">
    <w:name w:val="Heading Base"/>
    <w:rsid w:val="007E2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242"/>
    <w:pPr>
      <w:tabs>
        <w:tab w:val="right" w:leader="dot" w:pos="9072"/>
      </w:tabs>
      <w:ind w:left="567"/>
    </w:pPr>
    <w:rPr>
      <w:szCs w:val="22"/>
    </w:rPr>
  </w:style>
  <w:style w:type="paragraph" w:customStyle="1" w:styleId="TOCBase">
    <w:name w:val="TOC Base"/>
    <w:rsid w:val="007E2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242"/>
    <w:pPr>
      <w:tabs>
        <w:tab w:val="right" w:leader="dot" w:pos="9072"/>
      </w:tabs>
      <w:spacing w:before="40" w:after="40"/>
      <w:ind w:left="284"/>
    </w:pPr>
    <w:rPr>
      <w:rFonts w:ascii="Times New Roman" w:hAnsi="Times New Roman"/>
    </w:rPr>
  </w:style>
  <w:style w:type="paragraph" w:styleId="TOC1">
    <w:name w:val="toc 1"/>
    <w:basedOn w:val="TOCBase"/>
    <w:next w:val="Normal"/>
    <w:rsid w:val="007E22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242"/>
    <w:rPr>
      <w:rFonts w:ascii="Times New Roman" w:eastAsia="Times New Roman" w:hAnsi="Times New Roman" w:cs="Times New Roman"/>
      <w:sz w:val="16"/>
      <w:lang w:eastAsia="en-US"/>
    </w:rPr>
  </w:style>
  <w:style w:type="paragraph" w:styleId="Title">
    <w:name w:val="Title"/>
    <w:basedOn w:val="HeadingBase"/>
    <w:link w:val="TitleChar"/>
    <w:qFormat/>
    <w:rsid w:val="007E2242"/>
    <w:pPr>
      <w:spacing w:before="5040"/>
      <w:jc w:val="center"/>
    </w:pPr>
    <w:rPr>
      <w:sz w:val="48"/>
      <w:szCs w:val="72"/>
      <w:lang w:val="en-US"/>
    </w:rPr>
  </w:style>
  <w:style w:type="character" w:customStyle="1" w:styleId="TitleChar">
    <w:name w:val="Title Char"/>
    <w:basedOn w:val="DefaultParagraphFont"/>
    <w:link w:val="Title"/>
    <w:rsid w:val="007E2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242"/>
    <w:pPr>
      <w:tabs>
        <w:tab w:val="left" w:pos="3600"/>
        <w:tab w:val="left" w:pos="3958"/>
      </w:tabs>
    </w:pPr>
  </w:style>
  <w:style w:type="paragraph" w:styleId="List">
    <w:name w:val="List"/>
    <w:basedOn w:val="BodyText"/>
    <w:next w:val="BodyText"/>
    <w:rsid w:val="007E2242"/>
    <w:pPr>
      <w:tabs>
        <w:tab w:val="left" w:pos="340"/>
      </w:tabs>
      <w:spacing w:before="60" w:after="60"/>
      <w:ind w:left="340" w:hanging="340"/>
    </w:pPr>
  </w:style>
  <w:style w:type="paragraph" w:customStyle="1" w:styleId="Note">
    <w:name w:val="Note"/>
    <w:basedOn w:val="BodyText"/>
    <w:rsid w:val="007E2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242"/>
    <w:pPr>
      <w:framePr w:wrap="auto" w:hAnchor="text" w:y="6049"/>
    </w:pPr>
    <w:rPr>
      <w:color w:val="000000"/>
      <w:sz w:val="40"/>
    </w:rPr>
  </w:style>
  <w:style w:type="paragraph" w:customStyle="1" w:styleId="TOCTitle">
    <w:name w:val="TOCTitle"/>
    <w:basedOn w:val="Heading1"/>
    <w:rsid w:val="007E2242"/>
    <w:pPr>
      <w:spacing w:after="240"/>
      <w:jc w:val="center"/>
      <w:outlineLvl w:val="9"/>
    </w:pPr>
    <w:rPr>
      <w:caps/>
    </w:rPr>
  </w:style>
  <w:style w:type="paragraph" w:customStyle="1" w:styleId="Version">
    <w:name w:val="Version"/>
    <w:rsid w:val="007E22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242"/>
    <w:pPr>
      <w:numPr>
        <w:numId w:val="12"/>
      </w:numPr>
      <w:tabs>
        <w:tab w:val="clear" w:pos="680"/>
      </w:tabs>
    </w:pPr>
  </w:style>
  <w:style w:type="paragraph" w:styleId="Index1">
    <w:name w:val="index 1"/>
    <w:basedOn w:val="Normal"/>
    <w:next w:val="Normal"/>
    <w:semiHidden/>
    <w:rsid w:val="007E2242"/>
    <w:pPr>
      <w:keepNext w:val="0"/>
      <w:tabs>
        <w:tab w:val="right" w:pos="4176"/>
      </w:tabs>
      <w:ind w:left="198" w:hanging="198"/>
    </w:pPr>
    <w:rPr>
      <w:rFonts w:ascii="Garamond" w:hAnsi="Garamond"/>
    </w:rPr>
  </w:style>
  <w:style w:type="paragraph" w:styleId="IndexHeading">
    <w:name w:val="index heading"/>
    <w:basedOn w:val="Normal"/>
    <w:next w:val="Index1"/>
    <w:semiHidden/>
    <w:rsid w:val="007E2242"/>
    <w:pPr>
      <w:spacing w:before="120" w:after="120"/>
    </w:pPr>
    <w:rPr>
      <w:rFonts w:ascii="Arial" w:hAnsi="Arial"/>
      <w:b/>
      <w:color w:val="918585"/>
      <w:sz w:val="24"/>
    </w:rPr>
  </w:style>
  <w:style w:type="paragraph" w:styleId="Header">
    <w:name w:val="header"/>
    <w:basedOn w:val="Normal"/>
    <w:link w:val="HeaderChar"/>
    <w:rsid w:val="007E2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242"/>
    <w:rPr>
      <w:rFonts w:ascii="Times New Roman" w:eastAsia="Times New Roman" w:hAnsi="Times New Roman" w:cs="Times New Roman"/>
      <w:sz w:val="16"/>
      <w:szCs w:val="20"/>
      <w:lang w:val="en-GB" w:eastAsia="en-US"/>
    </w:rPr>
  </w:style>
  <w:style w:type="paragraph" w:customStyle="1" w:styleId="Chapter">
    <w:name w:val="Chapter"/>
    <w:basedOn w:val="Normal"/>
    <w:rsid w:val="007E2242"/>
    <w:pPr>
      <w:spacing w:before="240"/>
    </w:pPr>
    <w:rPr>
      <w:rFonts w:ascii="Times New Roman" w:hAnsi="Times New Roman"/>
      <w:smallCaps/>
      <w:spacing w:val="80"/>
      <w:sz w:val="28"/>
    </w:rPr>
  </w:style>
  <w:style w:type="paragraph" w:customStyle="1" w:styleId="InChapter">
    <w:name w:val="InChapter"/>
    <w:basedOn w:val="Heading3"/>
    <w:rsid w:val="007E2242"/>
    <w:pPr>
      <w:spacing w:after="240"/>
      <w:outlineLvl w:val="9"/>
    </w:pPr>
    <w:rPr>
      <w:noProof/>
    </w:rPr>
  </w:style>
  <w:style w:type="paragraph" w:styleId="Index2">
    <w:name w:val="index 2"/>
    <w:basedOn w:val="Normal"/>
    <w:next w:val="Normal"/>
    <w:semiHidden/>
    <w:rsid w:val="007E2242"/>
    <w:pPr>
      <w:tabs>
        <w:tab w:val="right" w:pos="4176"/>
      </w:tabs>
      <w:ind w:left="568" w:hanging="284"/>
    </w:pPr>
    <w:rPr>
      <w:rFonts w:ascii="Garamond" w:hAnsi="Garamond"/>
    </w:rPr>
  </w:style>
  <w:style w:type="paragraph" w:customStyle="1" w:styleId="Byline">
    <w:name w:val="Byline"/>
    <w:rsid w:val="007E2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242"/>
    <w:pPr>
      <w:tabs>
        <w:tab w:val="clear" w:pos="3600"/>
        <w:tab w:val="clear" w:pos="3958"/>
      </w:tabs>
      <w:jc w:val="right"/>
    </w:pPr>
  </w:style>
  <w:style w:type="character" w:styleId="Emphasis">
    <w:name w:val="Emphasis"/>
    <w:basedOn w:val="DefaultParagraphFont"/>
    <w:qFormat/>
    <w:rsid w:val="007E2242"/>
    <w:rPr>
      <w:i/>
    </w:rPr>
  </w:style>
  <w:style w:type="paragraph" w:styleId="Caption">
    <w:name w:val="caption"/>
    <w:basedOn w:val="BodyText"/>
    <w:next w:val="Normal"/>
    <w:qFormat/>
    <w:rsid w:val="007E2242"/>
    <w:pPr>
      <w:framePr w:w="2268" w:hSpace="181" w:vSpace="181" w:wrap="around" w:vAnchor="text" w:hAnchor="page" w:x="1135" w:y="285" w:anchorLock="1"/>
    </w:pPr>
    <w:rPr>
      <w:i/>
    </w:rPr>
  </w:style>
  <w:style w:type="paragraph" w:customStyle="1" w:styleId="MiniTOCTitle">
    <w:name w:val="MiniTOCTitle"/>
    <w:basedOn w:val="Heading4"/>
    <w:rsid w:val="007E2242"/>
    <w:pPr>
      <w:spacing w:before="240"/>
      <w:outlineLvl w:val="9"/>
    </w:pPr>
    <w:rPr>
      <w:noProof/>
      <w:sz w:val="24"/>
    </w:rPr>
  </w:style>
  <w:style w:type="paragraph" w:customStyle="1" w:styleId="MiniTOCItem">
    <w:name w:val="MiniTOCItem"/>
    <w:basedOn w:val="ListBullet"/>
    <w:rsid w:val="007E2242"/>
    <w:pPr>
      <w:numPr>
        <w:numId w:val="0"/>
      </w:numPr>
      <w:tabs>
        <w:tab w:val="right" w:leader="dot" w:pos="6521"/>
      </w:tabs>
      <w:spacing w:before="0" w:after="0"/>
    </w:pPr>
  </w:style>
  <w:style w:type="paragraph" w:customStyle="1" w:styleId="TOFTitle">
    <w:name w:val="TOFTitle"/>
    <w:basedOn w:val="TOCTitle"/>
    <w:rsid w:val="007E2242"/>
  </w:style>
  <w:style w:type="paragraph" w:styleId="TableofFigures">
    <w:name w:val="table of figures"/>
    <w:basedOn w:val="Normal"/>
    <w:next w:val="Normal"/>
    <w:semiHidden/>
    <w:rsid w:val="007E2242"/>
    <w:pPr>
      <w:tabs>
        <w:tab w:val="right" w:leader="dot" w:pos="9072"/>
      </w:tabs>
      <w:ind w:left="970" w:hanging="403"/>
    </w:pPr>
    <w:rPr>
      <w:rFonts w:ascii="Times New Roman" w:hAnsi="Times New Roman"/>
      <w:b/>
    </w:rPr>
  </w:style>
  <w:style w:type="paragraph" w:styleId="ListNumber">
    <w:name w:val="List Number"/>
    <w:basedOn w:val="List"/>
    <w:rsid w:val="007E2242"/>
    <w:pPr>
      <w:numPr>
        <w:numId w:val="14"/>
      </w:numPr>
      <w:tabs>
        <w:tab w:val="clear" w:pos="340"/>
      </w:tabs>
    </w:pPr>
  </w:style>
  <w:style w:type="character" w:customStyle="1" w:styleId="WingdingSymbols">
    <w:name w:val="Wingding Symbols"/>
    <w:rsid w:val="007E2242"/>
    <w:rPr>
      <w:rFonts w:ascii="Wingdings" w:hAnsi="Wingdings"/>
    </w:rPr>
  </w:style>
  <w:style w:type="paragraph" w:customStyle="1" w:styleId="TableHeading">
    <w:name w:val="Table Heading"/>
    <w:basedOn w:val="HeadingBase"/>
    <w:rsid w:val="007E2242"/>
    <w:pPr>
      <w:keepLines/>
      <w:pBdr>
        <w:bottom w:val="single" w:sz="6" w:space="1" w:color="918585"/>
      </w:pBdr>
      <w:spacing w:before="240"/>
    </w:pPr>
  </w:style>
  <w:style w:type="character" w:customStyle="1" w:styleId="HotSpot">
    <w:name w:val="HotSpot"/>
    <w:rsid w:val="007E2242"/>
    <w:rPr>
      <w:color w:val="0033CC"/>
      <w:u w:val="none"/>
    </w:rPr>
  </w:style>
  <w:style w:type="paragraph" w:customStyle="1" w:styleId="BodyTextRight">
    <w:name w:val="Body Text Right"/>
    <w:basedOn w:val="BodyText"/>
    <w:rsid w:val="007E2242"/>
    <w:pPr>
      <w:spacing w:before="0" w:after="0"/>
      <w:jc w:val="right"/>
    </w:pPr>
  </w:style>
  <w:style w:type="paragraph" w:styleId="Index3">
    <w:name w:val="index 3"/>
    <w:basedOn w:val="ListNumber2"/>
    <w:next w:val="Normal"/>
    <w:semiHidden/>
    <w:rsid w:val="007E2242"/>
    <w:pPr>
      <w:numPr>
        <w:numId w:val="0"/>
      </w:numPr>
      <w:tabs>
        <w:tab w:val="right" w:leader="dot" w:pos="4176"/>
      </w:tabs>
    </w:pPr>
  </w:style>
  <w:style w:type="paragraph" w:styleId="ListNumber2">
    <w:name w:val="List Number 2"/>
    <w:basedOn w:val="List2"/>
    <w:rsid w:val="007E2242"/>
    <w:pPr>
      <w:numPr>
        <w:numId w:val="9"/>
      </w:numPr>
      <w:tabs>
        <w:tab w:val="clear" w:pos="1060"/>
      </w:tabs>
    </w:pPr>
  </w:style>
  <w:style w:type="paragraph" w:customStyle="1" w:styleId="MarginNote">
    <w:name w:val="Margin Note"/>
    <w:basedOn w:val="BodyText"/>
    <w:rsid w:val="007E2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242"/>
    <w:rPr>
      <w:sz w:val="32"/>
    </w:rPr>
  </w:style>
  <w:style w:type="paragraph" w:customStyle="1" w:styleId="HeadingProcedure">
    <w:name w:val="Heading Procedure"/>
    <w:basedOn w:val="HeadingBase"/>
    <w:next w:val="Normal"/>
    <w:rsid w:val="007E2242"/>
    <w:pPr>
      <w:tabs>
        <w:tab w:val="left" w:pos="0"/>
      </w:tabs>
      <w:spacing w:before="120" w:after="60"/>
    </w:pPr>
    <w:rPr>
      <w:i/>
      <w:color w:val="918585"/>
      <w:sz w:val="22"/>
    </w:rPr>
  </w:style>
  <w:style w:type="paragraph" w:customStyle="1" w:styleId="TableBodyText">
    <w:name w:val="Table Body Text"/>
    <w:basedOn w:val="BodyText"/>
    <w:rsid w:val="007E2242"/>
    <w:pPr>
      <w:spacing w:before="60" w:after="60"/>
    </w:pPr>
  </w:style>
  <w:style w:type="paragraph" w:styleId="ListContinue">
    <w:name w:val="List Continue"/>
    <w:basedOn w:val="List"/>
    <w:rsid w:val="007E2242"/>
    <w:pPr>
      <w:ind w:firstLine="0"/>
    </w:pPr>
  </w:style>
  <w:style w:type="paragraph" w:customStyle="1" w:styleId="ListNote">
    <w:name w:val="List Note"/>
    <w:basedOn w:val="List"/>
    <w:rsid w:val="007E2242"/>
    <w:pPr>
      <w:pBdr>
        <w:top w:val="single" w:sz="6" w:space="2" w:color="918585"/>
        <w:bottom w:val="single" w:sz="6" w:space="2" w:color="918585"/>
      </w:pBdr>
      <w:tabs>
        <w:tab w:val="left" w:pos="1021"/>
      </w:tabs>
      <w:ind w:firstLine="0"/>
    </w:pPr>
  </w:style>
  <w:style w:type="paragraph" w:customStyle="1" w:styleId="Warning">
    <w:name w:val="Warning"/>
    <w:basedOn w:val="BodyText"/>
    <w:rsid w:val="007E2242"/>
    <w:pPr>
      <w:shd w:val="clear" w:color="auto" w:fill="D9D9D9"/>
      <w:tabs>
        <w:tab w:val="left" w:pos="992"/>
      </w:tabs>
      <w:ind w:left="119" w:right="119"/>
    </w:pPr>
    <w:rPr>
      <w:sz w:val="20"/>
    </w:rPr>
  </w:style>
  <w:style w:type="paragraph" w:customStyle="1" w:styleId="MarginIcons">
    <w:name w:val="Margin Icons"/>
    <w:basedOn w:val="BodyText"/>
    <w:rsid w:val="007E2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242"/>
    <w:rPr>
      <w:rFonts w:ascii="Courier New" w:hAnsi="Courier New"/>
    </w:rPr>
  </w:style>
  <w:style w:type="paragraph" w:customStyle="1" w:styleId="NoteBullet">
    <w:name w:val="Note Bullet"/>
    <w:basedOn w:val="Note"/>
    <w:rsid w:val="007E2242"/>
    <w:pPr>
      <w:tabs>
        <w:tab w:val="clear" w:pos="680"/>
      </w:tabs>
      <w:spacing w:before="60" w:after="60"/>
    </w:pPr>
  </w:style>
  <w:style w:type="paragraph" w:customStyle="1" w:styleId="SubHeading2">
    <w:name w:val="SubHeading2"/>
    <w:basedOn w:val="HeadingBase"/>
    <w:rsid w:val="007E2242"/>
    <w:pPr>
      <w:spacing w:before="240" w:after="60"/>
    </w:pPr>
    <w:rPr>
      <w:sz w:val="20"/>
    </w:rPr>
  </w:style>
  <w:style w:type="paragraph" w:customStyle="1" w:styleId="SubHeading1">
    <w:name w:val="SubHeading1"/>
    <w:basedOn w:val="HeadingBase"/>
    <w:rsid w:val="007E2242"/>
    <w:pPr>
      <w:spacing w:before="240" w:after="60"/>
    </w:pPr>
    <w:rPr>
      <w:color w:val="918585"/>
      <w:sz w:val="22"/>
    </w:rPr>
  </w:style>
  <w:style w:type="paragraph" w:customStyle="1" w:styleId="SideHeading">
    <w:name w:val="Side Heading"/>
    <w:basedOn w:val="HeadingBase"/>
    <w:rsid w:val="007E2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242"/>
    <w:pPr>
      <w:numPr>
        <w:numId w:val="10"/>
      </w:numPr>
    </w:pPr>
  </w:style>
  <w:style w:type="paragraph" w:styleId="PlainText">
    <w:name w:val="Plain Text"/>
    <w:basedOn w:val="Normal"/>
    <w:link w:val="PlainTextChar"/>
    <w:rsid w:val="007E2242"/>
    <w:rPr>
      <w:sz w:val="20"/>
    </w:rPr>
  </w:style>
  <w:style w:type="character" w:customStyle="1" w:styleId="PlainTextChar">
    <w:name w:val="Plain Text Char"/>
    <w:basedOn w:val="DefaultParagraphFont"/>
    <w:link w:val="PlainText"/>
    <w:rsid w:val="007E2242"/>
    <w:rPr>
      <w:rFonts w:ascii="Courier New" w:eastAsia="Times New Roman" w:hAnsi="Courier New" w:cs="Times New Roman"/>
      <w:sz w:val="20"/>
      <w:szCs w:val="20"/>
      <w:lang w:eastAsia="en-US"/>
    </w:rPr>
  </w:style>
  <w:style w:type="character" w:customStyle="1" w:styleId="MenuOption">
    <w:name w:val="Menu Option"/>
    <w:basedOn w:val="DefaultParagraphFont"/>
    <w:rsid w:val="007E2242"/>
    <w:rPr>
      <w:b/>
      <w:smallCaps/>
    </w:rPr>
  </w:style>
  <w:style w:type="paragraph" w:customStyle="1" w:styleId="TableListNumber">
    <w:name w:val="Table List Number"/>
    <w:basedOn w:val="ListNumber"/>
    <w:rsid w:val="007E2242"/>
    <w:pPr>
      <w:numPr>
        <w:numId w:val="0"/>
      </w:numPr>
    </w:pPr>
  </w:style>
  <w:style w:type="paragraph" w:styleId="TOC4">
    <w:name w:val="toc 4"/>
    <w:basedOn w:val="TOCBase"/>
    <w:next w:val="Normal"/>
    <w:semiHidden/>
    <w:rsid w:val="007E2242"/>
    <w:pPr>
      <w:tabs>
        <w:tab w:val="right" w:leader="dot" w:pos="9071"/>
      </w:tabs>
      <w:ind w:left="1701"/>
    </w:pPr>
  </w:style>
  <w:style w:type="paragraph" w:customStyle="1" w:styleId="ListAlpha">
    <w:name w:val="List Alpha"/>
    <w:basedOn w:val="List"/>
    <w:rsid w:val="007E2242"/>
    <w:pPr>
      <w:numPr>
        <w:numId w:val="8"/>
      </w:numPr>
    </w:pPr>
  </w:style>
  <w:style w:type="paragraph" w:customStyle="1" w:styleId="ListAlpha2">
    <w:name w:val="List Alpha 2"/>
    <w:basedOn w:val="List2"/>
    <w:rsid w:val="007E2242"/>
    <w:pPr>
      <w:numPr>
        <w:numId w:val="7"/>
      </w:numPr>
    </w:pPr>
  </w:style>
  <w:style w:type="paragraph" w:styleId="List2">
    <w:name w:val="List 2"/>
    <w:basedOn w:val="BodyText"/>
    <w:rsid w:val="007E2242"/>
    <w:pPr>
      <w:tabs>
        <w:tab w:val="left" w:pos="680"/>
      </w:tabs>
      <w:spacing w:before="60" w:after="60"/>
      <w:ind w:left="680" w:hanging="340"/>
    </w:pPr>
  </w:style>
  <w:style w:type="paragraph" w:styleId="List3">
    <w:name w:val="List 3"/>
    <w:basedOn w:val="BodyText"/>
    <w:rsid w:val="007E2242"/>
    <w:pPr>
      <w:tabs>
        <w:tab w:val="left" w:pos="1021"/>
      </w:tabs>
      <w:spacing w:before="60" w:after="60"/>
      <w:ind w:left="1020" w:hanging="340"/>
    </w:pPr>
  </w:style>
  <w:style w:type="paragraph" w:styleId="List4">
    <w:name w:val="List 4"/>
    <w:basedOn w:val="BodyText"/>
    <w:rsid w:val="007E2242"/>
    <w:pPr>
      <w:tabs>
        <w:tab w:val="left" w:pos="1361"/>
      </w:tabs>
      <w:spacing w:before="60" w:after="60"/>
      <w:ind w:left="1361" w:hanging="340"/>
    </w:pPr>
  </w:style>
  <w:style w:type="paragraph" w:styleId="List5">
    <w:name w:val="List 5"/>
    <w:basedOn w:val="BodyText"/>
    <w:rsid w:val="007E2242"/>
    <w:pPr>
      <w:tabs>
        <w:tab w:val="left" w:pos="1701"/>
      </w:tabs>
      <w:spacing w:before="60" w:after="60"/>
      <w:ind w:left="1701" w:hanging="340"/>
    </w:pPr>
  </w:style>
  <w:style w:type="paragraph" w:styleId="ListBullet3">
    <w:name w:val="List Bullet 3"/>
    <w:basedOn w:val="List3"/>
    <w:rsid w:val="007E2242"/>
    <w:pPr>
      <w:numPr>
        <w:numId w:val="13"/>
      </w:numPr>
      <w:tabs>
        <w:tab w:val="clear" w:pos="1021"/>
      </w:tabs>
      <w:ind w:left="1037" w:hanging="357"/>
    </w:pPr>
  </w:style>
  <w:style w:type="paragraph" w:styleId="ListBullet4">
    <w:name w:val="List Bullet 4"/>
    <w:basedOn w:val="List4"/>
    <w:rsid w:val="007E2242"/>
    <w:pPr>
      <w:numPr>
        <w:numId w:val="2"/>
      </w:numPr>
      <w:tabs>
        <w:tab w:val="clear" w:pos="1361"/>
      </w:tabs>
    </w:pPr>
  </w:style>
  <w:style w:type="paragraph" w:styleId="ListBullet5">
    <w:name w:val="List Bullet 5"/>
    <w:basedOn w:val="List5"/>
    <w:rsid w:val="007E2242"/>
    <w:pPr>
      <w:numPr>
        <w:numId w:val="3"/>
      </w:numPr>
    </w:pPr>
  </w:style>
  <w:style w:type="paragraph" w:styleId="ListContinue2">
    <w:name w:val="List Continue 2"/>
    <w:basedOn w:val="List2"/>
    <w:rsid w:val="007E2242"/>
    <w:pPr>
      <w:ind w:firstLine="0"/>
    </w:pPr>
  </w:style>
  <w:style w:type="paragraph" w:styleId="ListContinue3">
    <w:name w:val="List Continue 3"/>
    <w:basedOn w:val="List3"/>
    <w:rsid w:val="007E2242"/>
    <w:pPr>
      <w:ind w:left="1021" w:firstLine="0"/>
    </w:pPr>
  </w:style>
  <w:style w:type="paragraph" w:styleId="ListContinue4">
    <w:name w:val="List Continue 4"/>
    <w:basedOn w:val="List4"/>
    <w:rsid w:val="007E2242"/>
    <w:pPr>
      <w:ind w:firstLine="0"/>
    </w:pPr>
  </w:style>
  <w:style w:type="paragraph" w:styleId="ListContinue5">
    <w:name w:val="List Continue 5"/>
    <w:basedOn w:val="List5"/>
    <w:rsid w:val="007E2242"/>
    <w:pPr>
      <w:ind w:firstLine="0"/>
    </w:pPr>
  </w:style>
  <w:style w:type="paragraph" w:styleId="ListNumber3">
    <w:name w:val="List Number 3"/>
    <w:basedOn w:val="List3"/>
    <w:rsid w:val="007E2242"/>
    <w:pPr>
      <w:numPr>
        <w:numId w:val="4"/>
      </w:numPr>
    </w:pPr>
  </w:style>
  <w:style w:type="paragraph" w:styleId="ListNumber4">
    <w:name w:val="List Number 4"/>
    <w:basedOn w:val="List4"/>
    <w:rsid w:val="007E2242"/>
    <w:pPr>
      <w:numPr>
        <w:numId w:val="5"/>
      </w:numPr>
    </w:pPr>
  </w:style>
  <w:style w:type="paragraph" w:styleId="ListNumber5">
    <w:name w:val="List Number 5"/>
    <w:basedOn w:val="List5"/>
    <w:rsid w:val="007E2242"/>
    <w:pPr>
      <w:numPr>
        <w:numId w:val="6"/>
      </w:numPr>
    </w:pPr>
  </w:style>
  <w:style w:type="paragraph" w:styleId="BlockText">
    <w:name w:val="Block Text"/>
    <w:basedOn w:val="Normal"/>
    <w:rsid w:val="007E2242"/>
    <w:pPr>
      <w:spacing w:after="120"/>
      <w:ind w:left="1440" w:right="1440"/>
    </w:pPr>
  </w:style>
  <w:style w:type="character" w:customStyle="1" w:styleId="Subscript">
    <w:name w:val="Subscript"/>
    <w:basedOn w:val="DefaultParagraphFont"/>
    <w:rsid w:val="007E2242"/>
    <w:rPr>
      <w:sz w:val="16"/>
      <w:vertAlign w:val="subscript"/>
    </w:rPr>
  </w:style>
  <w:style w:type="character" w:customStyle="1" w:styleId="Superscript">
    <w:name w:val="Superscript"/>
    <w:basedOn w:val="DefaultParagraphFont"/>
    <w:rsid w:val="007E2242"/>
    <w:rPr>
      <w:sz w:val="16"/>
      <w:vertAlign w:val="superscript"/>
    </w:rPr>
  </w:style>
  <w:style w:type="character" w:customStyle="1" w:styleId="Symbols">
    <w:name w:val="Symbols"/>
    <w:basedOn w:val="DefaultParagraphFont"/>
    <w:rsid w:val="007E2242"/>
    <w:rPr>
      <w:rFonts w:ascii="Symbol" w:hAnsi="Symbol"/>
    </w:rPr>
  </w:style>
  <w:style w:type="character" w:customStyle="1" w:styleId="MenuOptions">
    <w:name w:val="Menu Options"/>
    <w:basedOn w:val="DefaultParagraphFont"/>
    <w:rsid w:val="007E2242"/>
    <w:rPr>
      <w:rFonts w:ascii="Arial Narrow" w:hAnsi="Arial Narrow"/>
      <w:smallCaps/>
    </w:rPr>
  </w:style>
  <w:style w:type="character" w:customStyle="1" w:styleId="Buttons">
    <w:name w:val="Buttons"/>
    <w:basedOn w:val="DefaultParagraphFont"/>
    <w:rsid w:val="007E2242"/>
    <w:rPr>
      <w:b/>
    </w:rPr>
  </w:style>
  <w:style w:type="character" w:customStyle="1" w:styleId="Underlined">
    <w:name w:val="Underlined"/>
    <w:basedOn w:val="DefaultParagraphFont"/>
    <w:rsid w:val="007E2242"/>
    <w:rPr>
      <w:u w:val="single"/>
    </w:rPr>
  </w:style>
  <w:style w:type="paragraph" w:customStyle="1" w:styleId="TableBodyTextRight">
    <w:name w:val="Table Body Text Right"/>
    <w:basedOn w:val="TableBodyText"/>
    <w:rsid w:val="007E2242"/>
    <w:pPr>
      <w:widowControl w:val="0"/>
      <w:autoSpaceDE w:val="0"/>
      <w:autoSpaceDN w:val="0"/>
      <w:adjustRightInd w:val="0"/>
      <w:jc w:val="right"/>
    </w:pPr>
    <w:rPr>
      <w:rFonts w:cs="Arial"/>
      <w:szCs w:val="18"/>
    </w:rPr>
  </w:style>
  <w:style w:type="paragraph" w:customStyle="1" w:styleId="CopyrightText">
    <w:name w:val="Copyright Text"/>
    <w:basedOn w:val="BodyText"/>
    <w:rsid w:val="007E2242"/>
    <w:rPr>
      <w:sz w:val="18"/>
    </w:rPr>
  </w:style>
  <w:style w:type="paragraph" w:customStyle="1" w:styleId="BodySmallRight">
    <w:name w:val="Body Small Right"/>
    <w:basedOn w:val="BodyTextRight"/>
    <w:rsid w:val="007E2242"/>
    <w:rPr>
      <w:sz w:val="18"/>
      <w:szCs w:val="18"/>
    </w:rPr>
  </w:style>
  <w:style w:type="paragraph" w:customStyle="1" w:styleId="MarginEdition">
    <w:name w:val="Margin Edition"/>
    <w:basedOn w:val="MarginNote"/>
    <w:rsid w:val="007E2242"/>
    <w:pPr>
      <w:spacing w:before="0" w:after="0"/>
    </w:pPr>
    <w:rPr>
      <w:rFonts w:ascii="Times New Roman" w:hAnsi="Times New Roman"/>
      <w:color w:val="999999"/>
    </w:rPr>
  </w:style>
  <w:style w:type="paragraph" w:customStyle="1" w:styleId="Spacer">
    <w:name w:val="Spacer"/>
    <w:basedOn w:val="Normal"/>
    <w:rsid w:val="007E2242"/>
    <w:rPr>
      <w:sz w:val="2"/>
      <w:szCs w:val="2"/>
    </w:rPr>
  </w:style>
  <w:style w:type="character" w:customStyle="1" w:styleId="Small">
    <w:name w:val="Small"/>
    <w:basedOn w:val="DefaultParagraphFont"/>
    <w:rsid w:val="007E2242"/>
    <w:rPr>
      <w:sz w:val="16"/>
    </w:rPr>
  </w:style>
  <w:style w:type="paragraph" w:customStyle="1" w:styleId="WideTable">
    <w:name w:val="Wide Table"/>
    <w:basedOn w:val="Normal"/>
    <w:rsid w:val="007E2242"/>
    <w:pPr>
      <w:ind w:left="-1418"/>
    </w:pPr>
    <w:rPr>
      <w:sz w:val="2"/>
      <w:szCs w:val="2"/>
    </w:rPr>
  </w:style>
  <w:style w:type="character" w:styleId="PageNumber">
    <w:name w:val="page number"/>
    <w:basedOn w:val="DefaultParagraphFont"/>
    <w:rsid w:val="007E2242"/>
  </w:style>
  <w:style w:type="paragraph" w:styleId="Quote">
    <w:name w:val="Quote"/>
    <w:basedOn w:val="Heading1"/>
    <w:link w:val="QuoteChar"/>
    <w:qFormat/>
    <w:rsid w:val="007E2242"/>
    <w:rPr>
      <w:b w:val="0"/>
      <w:sz w:val="72"/>
      <w:szCs w:val="72"/>
      <w:lang w:val="en-NZ"/>
    </w:rPr>
  </w:style>
  <w:style w:type="character" w:customStyle="1" w:styleId="QuoteChar">
    <w:name w:val="Quote Char"/>
    <w:basedOn w:val="DefaultParagraphFont"/>
    <w:link w:val="Quote"/>
    <w:rsid w:val="007E2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242"/>
    <w:pPr>
      <w:pageBreakBefore/>
    </w:pPr>
  </w:style>
  <w:style w:type="paragraph" w:customStyle="1" w:styleId="Border">
    <w:name w:val="Border"/>
    <w:basedOn w:val="Normal"/>
    <w:qFormat/>
    <w:rsid w:val="007E2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242"/>
    <w:rPr>
      <w:b/>
      <w:bCs/>
      <w:i/>
      <w:iCs/>
      <w:color w:val="auto"/>
    </w:rPr>
  </w:style>
  <w:style w:type="paragraph" w:styleId="IntenseQuote">
    <w:name w:val="Intense Quote"/>
    <w:basedOn w:val="Normal"/>
    <w:next w:val="Normal"/>
    <w:link w:val="IntenseQuoteChar"/>
    <w:uiPriority w:val="30"/>
    <w:qFormat/>
    <w:rsid w:val="007E2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242"/>
    <w:rPr>
      <w:smallCaps/>
      <w:color w:val="auto"/>
      <w:u w:val="single"/>
    </w:rPr>
  </w:style>
  <w:style w:type="character" w:styleId="IntenseReference">
    <w:name w:val="Intense Reference"/>
    <w:basedOn w:val="DefaultParagraphFont"/>
    <w:uiPriority w:val="32"/>
    <w:qFormat/>
    <w:rsid w:val="007E2242"/>
    <w:rPr>
      <w:b/>
      <w:bCs/>
      <w:smallCaps/>
      <w:color w:val="auto"/>
      <w:spacing w:val="5"/>
      <w:u w:val="single"/>
    </w:rPr>
  </w:style>
  <w:style w:type="paragraph" w:customStyle="1" w:styleId="2ColumnHeading">
    <w:name w:val="2Column Heading"/>
    <w:basedOn w:val="BodyText"/>
    <w:qFormat/>
    <w:rsid w:val="007E2242"/>
    <w:pPr>
      <w:spacing w:after="60"/>
      <w:ind w:left="-2268"/>
    </w:pPr>
    <w:rPr>
      <w:b/>
    </w:rPr>
  </w:style>
  <w:style w:type="paragraph" w:customStyle="1" w:styleId="Heading1TOC">
    <w:name w:val="Heading1 TOC"/>
    <w:basedOn w:val="Normal"/>
    <w:qFormat/>
    <w:rsid w:val="007E2242"/>
    <w:pPr>
      <w:spacing w:before="240" w:after="120"/>
    </w:pPr>
    <w:rPr>
      <w:rFonts w:ascii="Times New Roman" w:hAnsi="Times New Roman"/>
      <w:b/>
      <w:sz w:val="32"/>
    </w:rPr>
  </w:style>
  <w:style w:type="paragraph" w:customStyle="1" w:styleId="Heading2TOC">
    <w:name w:val="Heading2 TOC"/>
    <w:basedOn w:val="Normal"/>
    <w:qFormat/>
    <w:rsid w:val="007E2242"/>
    <w:pPr>
      <w:spacing w:before="240" w:after="60"/>
    </w:pPr>
    <w:rPr>
      <w:rFonts w:ascii="Times New Roman" w:hAnsi="Times New Roman"/>
      <w:b/>
      <w:sz w:val="28"/>
    </w:rPr>
  </w:style>
  <w:style w:type="character" w:customStyle="1" w:styleId="Underline">
    <w:name w:val="Underline"/>
    <w:basedOn w:val="DefaultParagraphFont"/>
    <w:qFormat/>
    <w:rsid w:val="007E2242"/>
    <w:rPr>
      <w:u w:val="single"/>
    </w:rPr>
  </w:style>
  <w:style w:type="paragraph" w:styleId="BalloonText">
    <w:name w:val="Balloon Text"/>
    <w:basedOn w:val="Normal"/>
    <w:link w:val="BalloonTextChar"/>
    <w:rsid w:val="007E2242"/>
    <w:rPr>
      <w:rFonts w:ascii="Tahoma" w:hAnsi="Tahoma" w:cs="Tahoma"/>
      <w:sz w:val="16"/>
      <w:szCs w:val="16"/>
    </w:rPr>
  </w:style>
  <w:style w:type="character" w:customStyle="1" w:styleId="BalloonTextChar">
    <w:name w:val="Balloon Text Char"/>
    <w:basedOn w:val="DefaultParagraphFont"/>
    <w:link w:val="BalloonText"/>
    <w:rsid w:val="007E2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2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242"/>
    <w:rPr>
      <w:b/>
      <w:color w:val="660033"/>
      <w:spacing w:val="0"/>
    </w:rPr>
  </w:style>
  <w:style w:type="paragraph" w:customStyle="1" w:styleId="Nameditemlist">
    <w:name w:val="Named item list"/>
    <w:basedOn w:val="BodyText"/>
    <w:qFormat/>
    <w:rsid w:val="007E2242"/>
    <w:pPr>
      <w:tabs>
        <w:tab w:val="left" w:pos="2835"/>
      </w:tabs>
      <w:ind w:left="2835" w:hanging="2835"/>
    </w:pPr>
  </w:style>
  <w:style w:type="paragraph" w:customStyle="1" w:styleId="BodyTextnopadding">
    <w:name w:val="Body Text no padding"/>
    <w:basedOn w:val="BodyText"/>
    <w:qFormat/>
    <w:rsid w:val="007E2242"/>
    <w:pPr>
      <w:spacing w:before="0" w:after="0"/>
    </w:pPr>
  </w:style>
  <w:style w:type="paragraph" w:customStyle="1" w:styleId="BodyTextBold">
    <w:name w:val="Body Text Bold"/>
    <w:basedOn w:val="BodyText"/>
    <w:qFormat/>
    <w:rsid w:val="007E2242"/>
    <w:rPr>
      <w:b/>
    </w:rPr>
  </w:style>
  <w:style w:type="character" w:styleId="Hyperlink">
    <w:name w:val="Hyperlink"/>
    <w:basedOn w:val="DefaultParagraphFont"/>
    <w:uiPriority w:val="99"/>
    <w:unhideWhenUsed/>
    <w:rsid w:val="000E3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4699</Characters>
  <Application>Microsoft Office Word</Application>
  <DocSecurity>0</DocSecurity>
  <Lines>180</Lines>
  <Paragraphs>104</Paragraphs>
  <ScaleCrop>false</ScaleCrop>
  <Company>Author-it Software Corporation Ltd.</Company>
  <LinksUpToDate>false</LinksUpToDate>
  <CharactersWithSpaces>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CPPDSM4028 Identify and analyse risks and opportunities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2023-07-02T02:17:00Z</dcterms:created>
  <dcterms:modified xsi:type="dcterms:W3CDTF">2023-07-02T02:17:00Z</dcterms:modified>
</cp:coreProperties>
</file>