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7A2" w:rsidP="00053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CPPDSM4028 Identify and analyse risks and opportunities in the property industry</w:t>
      </w:r>
      <w:r>
        <w:fldChar w:fldCharType="end"/>
      </w:r>
    </w:p>
    <w:p w:rsidR="000537A2" w:rsidP="000537A2">
      <w:pPr>
        <w:pStyle w:val="Version"/>
        <w:sectPr w:rsidSect="00FD5B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B60" w:rsidP="00FD5B60">
      <w:pPr>
        <w:pStyle w:val="SuperHeading"/>
      </w:pPr>
      <w:r w:rsidRPr="00FD5B60">
        <w:t>Assessment Requirements for CPPDSM4028 Identify and analyse risks and opportunities in the property industry</w:t>
      </w:r>
    </w:p>
    <w:p w:rsidR="00000000" w:rsidRPr="00FD5B60" w:rsidP="00FD5B60">
      <w:pPr>
        <w:pStyle w:val="Heading1"/>
      </w:pPr>
      <w:bookmarkStart w:id="1" w:name="O_864459"/>
      <w:bookmarkEnd w:id="1"/>
      <w:r w:rsidRPr="00FD5B60">
        <w:t>Modification History</w:t>
      </w:r>
    </w:p>
    <w:p w:rsidR="00000000" w:rsidRPr="00FD5B60" w:rsidP="000537A2">
      <w:pPr>
        <w:pStyle w:val="BodyText"/>
      </w:pPr>
      <w:r w:rsidRPr="00FD5B60">
        <w:t>Release 1.</w:t>
      </w:r>
    </w:p>
    <w:p w:rsidR="00000000" w:rsidRPr="00FD5B60" w:rsidP="000537A2">
      <w:pPr>
        <w:pStyle w:val="BodyText"/>
      </w:pPr>
      <w:r w:rsidRPr="00FD5B60">
        <w:t>Replaces superseded equivalent CPPDSM4028A Identify and analyse risks and opportunities in the property industry.</w:t>
      </w:r>
    </w:p>
    <w:p w:rsidR="00000000" w:rsidRPr="00FD5B60" w:rsidP="000537A2">
      <w:pPr>
        <w:pStyle w:val="BodyText"/>
      </w:pPr>
      <w:r w:rsidRPr="00FD5B60">
        <w:t>This version first released with CPP Property Services Training Package Version 5.</w:t>
      </w:r>
    </w:p>
    <w:p w:rsidR="00000000" w:rsidRPr="00FD5B60" w:rsidP="00FD5B60">
      <w:pPr>
        <w:pStyle w:val="Heading1"/>
      </w:pPr>
      <w:bookmarkStart w:id="2" w:name="O_864462"/>
      <w:bookmarkEnd w:id="2"/>
      <w:r w:rsidRPr="00FD5B60">
        <w:t>Performance Evidence</w:t>
      </w:r>
    </w:p>
    <w:p w:rsidR="00000000" w:rsidRPr="00FD5B60" w:rsidP="000537A2">
      <w:pPr>
        <w:pStyle w:val="BodyText"/>
      </w:pPr>
      <w:r w:rsidRPr="00FD5B60">
        <w:t>A person demonstrati</w:t>
      </w:r>
      <w:r w:rsidRPr="00FD5B60">
        <w:t>ng competency in this unit must satisfy all of the elements, performance criteria, foundation skills and range of conditions of this unit.</w:t>
      </w:r>
    </w:p>
    <w:p w:rsidR="00000000" w:rsidRPr="00FD5B60" w:rsidP="000537A2">
      <w:pPr>
        <w:pStyle w:val="BodyText"/>
      </w:pPr>
      <w:r w:rsidRPr="00FD5B60">
        <w:t>The person must also identify and analyse potential risks and opportunities to ensure safe and effective property op</w:t>
      </w:r>
      <w:r w:rsidRPr="00FD5B60">
        <w:t>erations.</w:t>
      </w:r>
    </w:p>
    <w:p w:rsidR="00000000" w:rsidRPr="00FD5B60" w:rsidP="000537A2">
      <w:pPr>
        <w:pStyle w:val="BodyText"/>
      </w:pPr>
      <w:r w:rsidRPr="00FD5B60">
        <w:t xml:space="preserve">The person must demonstrate this performance by identifying and analysing three potential risks and three potential opportunities relating to the operations of one property-related organisation. The findings of this work must be documented in a </w:t>
      </w:r>
      <w:r w:rsidRPr="00FD5B60">
        <w:t>form suitable for presentation to senior managers in the organisation.</w:t>
      </w:r>
    </w:p>
    <w:p w:rsidR="00000000" w:rsidRPr="00FD5B60" w:rsidP="000537A2">
      <w:pPr>
        <w:pStyle w:val="BodyText"/>
      </w:pPr>
      <w:r w:rsidRPr="00FD5B60">
        <w:t>In doing the above, the person must:</w:t>
      </w:r>
    </w:p>
    <w:p w:rsidR="00000000" w:rsidRPr="00FD5B60" w:rsidP="00FD5B60">
      <w:pPr>
        <w:pStyle w:val="ListBullet"/>
      </w:pPr>
      <w:r w:rsidRPr="00FD5B60">
        <w:t>assess level of potential risk or opportunity against agreed assessment criteria</w:t>
      </w:r>
    </w:p>
    <w:p w:rsidR="00000000" w:rsidRPr="00FD5B60" w:rsidP="00FD5B60">
      <w:pPr>
        <w:pStyle w:val="ListBullet"/>
      </w:pPr>
      <w:r w:rsidRPr="00FD5B60">
        <w:t>establish terms of reference and develop effective action plan an</w:t>
      </w:r>
      <w:r w:rsidRPr="00FD5B60">
        <w:t>d structure for analysis and assessment</w:t>
      </w:r>
    </w:p>
    <w:p w:rsidR="00000000" w:rsidRPr="00FD5B60" w:rsidP="00FD5B60">
      <w:pPr>
        <w:pStyle w:val="ListBullet"/>
      </w:pPr>
      <w:r w:rsidRPr="00FD5B60">
        <w:t>apply knowledge of organisation’s practices, ethical standards, and legislative requirements associated with identifying and analysing potential risks and opportunities to ensure safe and effective property operation</w:t>
      </w:r>
      <w:r w:rsidRPr="00FD5B60">
        <w:t>s</w:t>
      </w:r>
    </w:p>
    <w:p w:rsidR="00000000" w:rsidRPr="00FD5B60" w:rsidP="00FD5B60">
      <w:pPr>
        <w:pStyle w:val="ListBullet"/>
      </w:pPr>
      <w:r w:rsidRPr="00FD5B60">
        <w:t>obtain information from a range of sources and consultative processes to ensure accurate understanding of operating environment</w:t>
      </w:r>
    </w:p>
    <w:p w:rsidR="00000000" w:rsidRPr="00FD5B60" w:rsidP="00FD5B60">
      <w:pPr>
        <w:pStyle w:val="ListBullet"/>
      </w:pPr>
      <w:r w:rsidRPr="00FD5B60">
        <w:t>review and prepare findings relating to risks and opportunities in a format suitable for presentation.</w:t>
      </w:r>
    </w:p>
    <w:p w:rsidR="00000000" w:rsidRPr="00FD5B60" w:rsidP="00FD5B60">
      <w:pPr>
        <w:pStyle w:val="AllowPageBreak"/>
      </w:pPr>
    </w:p>
    <w:p w:rsidR="00000000" w:rsidRPr="00FD5B60" w:rsidP="00FD5B60">
      <w:pPr>
        <w:pStyle w:val="Heading1"/>
      </w:pPr>
      <w:bookmarkStart w:id="3" w:name="O_864461"/>
      <w:bookmarkEnd w:id="3"/>
      <w:r w:rsidRPr="00FD5B60">
        <w:t>Knowledge Evidence</w:t>
      </w:r>
    </w:p>
    <w:p w:rsidR="00000000" w:rsidRPr="00FD5B60" w:rsidP="000537A2">
      <w:pPr>
        <w:pStyle w:val="BodyText"/>
      </w:pPr>
      <w:r w:rsidRPr="00FD5B60">
        <w:t>A person demonstrating competency in this unit must demonstrate knowledge of:</w:t>
      </w:r>
    </w:p>
    <w:p w:rsidR="00000000" w:rsidRPr="00FD5B60" w:rsidP="00FD5B60">
      <w:pPr>
        <w:pStyle w:val="ListBullet"/>
      </w:pPr>
      <w:r w:rsidRPr="00FD5B60">
        <w:t>client and organisational confidentiality requirements</w:t>
      </w:r>
    </w:p>
    <w:p w:rsidR="00000000" w:rsidRPr="00FD5B60" w:rsidP="00FD5B60">
      <w:pPr>
        <w:pStyle w:val="ListBullet"/>
      </w:pPr>
      <w:r w:rsidRPr="00FD5B60">
        <w:t>concept of litigation</w:t>
      </w:r>
    </w:p>
    <w:p w:rsidR="00000000" w:rsidRPr="00FD5B60" w:rsidP="00FD5B60">
      <w:pPr>
        <w:pStyle w:val="ListBullet"/>
      </w:pPr>
      <w:r w:rsidRPr="00FD5B60">
        <w:t>insurance policies, codes and operations</w:t>
      </w:r>
    </w:p>
    <w:p w:rsidR="00000000" w:rsidRPr="00FD5B60" w:rsidP="00FD5B60">
      <w:pPr>
        <w:pStyle w:val="ListBullet"/>
      </w:pPr>
      <w:r w:rsidRPr="00FD5B60">
        <w:t>mechanisms to obtain and analyse feedbac</w:t>
      </w:r>
      <w:r w:rsidRPr="00FD5B60">
        <w:t>k on findings of risk and opportunity analysis</w:t>
      </w:r>
    </w:p>
    <w:p w:rsidR="00000000" w:rsidRPr="00FD5B60" w:rsidP="00FD5B60">
      <w:pPr>
        <w:pStyle w:val="ListBullet"/>
      </w:pPr>
      <w:r w:rsidRPr="00FD5B60">
        <w:t>principles and techniques for identifying and measuring risks and opportunities</w:t>
      </w:r>
    </w:p>
    <w:p w:rsidR="00000000" w:rsidRPr="00FD5B60" w:rsidP="00FD5B60">
      <w:pPr>
        <w:pStyle w:val="ListBullet"/>
      </w:pPr>
      <w:r w:rsidRPr="00FD5B60">
        <w:t>key requirements of federal, state or territory legislation and local government regulations relating to:</w:t>
      </w:r>
    </w:p>
    <w:p w:rsidR="00000000" w:rsidRPr="00FD5B60" w:rsidP="00FD5B60">
      <w:pPr>
        <w:pStyle w:val="ListBullet2"/>
      </w:pPr>
      <w:r w:rsidRPr="00FD5B60">
        <w:t>anti-discrimination</w:t>
      </w:r>
    </w:p>
    <w:p w:rsidR="00000000" w:rsidRPr="00FD5B60" w:rsidP="00FD5B60">
      <w:pPr>
        <w:pStyle w:val="ListBullet2"/>
      </w:pPr>
      <w:r w:rsidRPr="00FD5B60">
        <w:t>co</w:t>
      </w:r>
      <w:r w:rsidRPr="00FD5B60">
        <w:t>nsumer protection</w:t>
      </w:r>
    </w:p>
    <w:p w:rsidR="00000000" w:rsidRPr="00FD5B60" w:rsidP="00FD5B60">
      <w:pPr>
        <w:pStyle w:val="ListBullet2"/>
      </w:pPr>
      <w:r w:rsidRPr="00FD5B60">
        <w:t>environmental issues</w:t>
      </w:r>
    </w:p>
    <w:p w:rsidR="00000000" w:rsidRPr="00FD5B60" w:rsidP="00FD5B60">
      <w:pPr>
        <w:pStyle w:val="ListBullet2"/>
      </w:pPr>
      <w:r w:rsidRPr="00FD5B60">
        <w:t>equal employment opportunity (EEO)</w:t>
      </w:r>
    </w:p>
    <w:p w:rsidR="00000000" w:rsidRPr="00FD5B60" w:rsidP="00FD5B60">
      <w:pPr>
        <w:pStyle w:val="ListBullet2"/>
      </w:pPr>
      <w:r w:rsidRPr="00FD5B60">
        <w:t>financial probity</w:t>
      </w:r>
    </w:p>
    <w:p w:rsidR="00000000" w:rsidRPr="00FD5B60" w:rsidP="00FD5B60">
      <w:pPr>
        <w:pStyle w:val="ListBullet2"/>
      </w:pPr>
      <w:r w:rsidRPr="00FD5B60">
        <w:t>franchise and business structures</w:t>
      </w:r>
    </w:p>
    <w:p w:rsidR="00000000" w:rsidRPr="00FD5B60" w:rsidP="00FD5B60">
      <w:pPr>
        <w:pStyle w:val="ListBullet2"/>
      </w:pPr>
      <w:r w:rsidRPr="00FD5B60">
        <w:t>industrial relations</w:t>
      </w:r>
    </w:p>
    <w:p w:rsidR="00000000" w:rsidRPr="00FD5B60" w:rsidP="00FD5B60">
      <w:pPr>
        <w:pStyle w:val="ListBullet2"/>
      </w:pPr>
      <w:r w:rsidRPr="00FD5B60">
        <w:t>work health and safety (WHS)</w:t>
      </w:r>
    </w:p>
    <w:p w:rsidR="00000000" w:rsidRPr="00FD5B60" w:rsidP="00FD5B60">
      <w:pPr>
        <w:pStyle w:val="ListBullet2"/>
      </w:pPr>
      <w:r w:rsidRPr="00FD5B60">
        <w:t>property sales, leasing and management</w:t>
      </w:r>
    </w:p>
    <w:p w:rsidR="00000000" w:rsidRPr="00FD5B60" w:rsidP="00FD5B60">
      <w:pPr>
        <w:pStyle w:val="ListBullet"/>
      </w:pPr>
      <w:r w:rsidRPr="00FD5B60">
        <w:t>property industry code of conduct and professional standards</w:t>
      </w:r>
    </w:p>
    <w:p w:rsidR="00000000" w:rsidRPr="00FD5B60" w:rsidP="00FD5B60">
      <w:pPr>
        <w:pStyle w:val="ListBullet"/>
      </w:pPr>
      <w:r w:rsidRPr="00FD5B60">
        <w:t>risk and opportunity assessment techniques and processes.</w:t>
      </w:r>
    </w:p>
    <w:p w:rsidR="00000000" w:rsidRPr="00FD5B60" w:rsidP="00FD5B60">
      <w:pPr>
        <w:pStyle w:val="AllowPageBreak"/>
      </w:pPr>
    </w:p>
    <w:p w:rsidR="00000000" w:rsidRPr="00FD5B60" w:rsidP="00FD5B60">
      <w:pPr>
        <w:pStyle w:val="Heading1"/>
      </w:pPr>
      <w:bookmarkStart w:id="4" w:name="O_864460"/>
      <w:bookmarkEnd w:id="4"/>
      <w:r w:rsidRPr="00FD5B60">
        <w:t>Assessment Conditions</w:t>
      </w:r>
    </w:p>
    <w:p w:rsidR="00000000" w:rsidRPr="00FD5B60" w:rsidP="000537A2">
      <w:pPr>
        <w:pStyle w:val="BodyText"/>
      </w:pPr>
      <w:r w:rsidRPr="00FD5B60">
        <w:t>The following must be present and available to learners during assessment activities:</w:t>
      </w:r>
    </w:p>
    <w:p w:rsidR="00000000" w:rsidRPr="00FD5B60" w:rsidP="00FD5B60">
      <w:pPr>
        <w:pStyle w:val="ListBullet"/>
      </w:pPr>
      <w:r w:rsidRPr="00FD5B60">
        <w:t>equipment:</w:t>
      </w:r>
    </w:p>
    <w:p w:rsidR="00000000" w:rsidRPr="00FD5B60" w:rsidP="00FD5B60">
      <w:pPr>
        <w:pStyle w:val="ListBullet2"/>
      </w:pPr>
      <w:r w:rsidRPr="00FD5B60">
        <w:t>computer system with internet, email and printing facilities</w:t>
      </w:r>
    </w:p>
    <w:p w:rsidR="00000000" w:rsidRPr="00FD5B60" w:rsidP="00FD5B60">
      <w:pPr>
        <w:pStyle w:val="ListBullet"/>
      </w:pPr>
      <w:r w:rsidRPr="00FD5B60">
        <w:t>specifications:</w:t>
      </w:r>
    </w:p>
    <w:p w:rsidR="00000000" w:rsidRPr="00FD5B60" w:rsidP="00FD5B60">
      <w:pPr>
        <w:pStyle w:val="ListBullet2"/>
      </w:pPr>
      <w:r w:rsidRPr="00FD5B60">
        <w:t>organisation’s policies and procedures for identifying and assessing risks</w:t>
      </w:r>
    </w:p>
    <w:p w:rsidR="00000000" w:rsidRPr="00FD5B60" w:rsidP="00FD5B60">
      <w:pPr>
        <w:pStyle w:val="ListBullet2"/>
      </w:pPr>
      <w:r w:rsidRPr="00FD5B60">
        <w:t>procedures for identifying and analysing risks and opportunities</w:t>
      </w:r>
    </w:p>
    <w:p w:rsidR="00000000" w:rsidRPr="00FD5B60" w:rsidP="00FD5B60">
      <w:pPr>
        <w:pStyle w:val="ListBullet"/>
      </w:pPr>
      <w:r w:rsidRPr="00FD5B60">
        <w:t xml:space="preserve">relationship with team members and </w:t>
      </w:r>
      <w:r w:rsidRPr="00FD5B60">
        <w:t>supervisor:</w:t>
      </w:r>
    </w:p>
    <w:p w:rsidR="00000000" w:rsidRPr="00FD5B60" w:rsidP="00FD5B60">
      <w:pPr>
        <w:pStyle w:val="ListBullet2"/>
      </w:pPr>
      <w:r w:rsidRPr="00FD5B60">
        <w:t>member of a work team in a property industry context.</w:t>
      </w:r>
    </w:p>
    <w:p w:rsidR="00000000" w:rsidRPr="00FD5B60" w:rsidP="00FD5B60">
      <w:pPr>
        <w:pStyle w:val="BodyText"/>
      </w:pPr>
    </w:p>
    <w:p w:rsidR="00000000" w:rsidRPr="00FD5B60" w:rsidP="000537A2">
      <w:pPr>
        <w:pStyle w:val="Heading3"/>
      </w:pPr>
      <w:r w:rsidRPr="00FD5B60">
        <w:rPr>
          <w:rStyle w:val="SpecialBold"/>
        </w:rPr>
        <w:t>Assessor requirements</w:t>
      </w:r>
    </w:p>
    <w:p w:rsidR="00000000" w:rsidRPr="00FD5B60" w:rsidP="000537A2">
      <w:pPr>
        <w:pStyle w:val="BodyText"/>
      </w:pPr>
      <w:r w:rsidRPr="00FD5B60">
        <w:t xml:space="preserve">As a minimum, assessors must satisfy the assessor requirements in the </w:t>
      </w:r>
      <w:r w:rsidRPr="00FD5B60">
        <w:rPr>
          <w:rStyle w:val="Emphasis"/>
        </w:rPr>
        <w:t>Standards for Registered Training Organisations</w:t>
      </w:r>
      <w:r w:rsidRPr="00FD5B60">
        <w:t xml:space="preserve"> (RTOs) current at the time of assessment.</w:t>
      </w:r>
    </w:p>
    <w:p w:rsidR="00000000" w:rsidRPr="00FD5B60" w:rsidP="00FD5B60">
      <w:pPr>
        <w:pStyle w:val="Heading1"/>
      </w:pPr>
      <w:bookmarkStart w:id="5" w:name="O_864458"/>
      <w:bookmarkEnd w:id="5"/>
      <w:r w:rsidRPr="00FD5B60">
        <w:t>Links</w:t>
      </w:r>
    </w:p>
    <w:p w:rsidR="00000000" w:rsidRPr="00FD5B60" w:rsidP="000537A2">
      <w:pPr>
        <w:pStyle w:val="BodyText"/>
      </w:pPr>
      <w:r w:rsidRPr="00FD5B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17D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D5B60" w:rsidP="00FD5B60"/>
    <w:sectPr w:rsidSect="00FD5B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60" w:rsidRPr="000537A2" w:rsidP="000537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A2" w:rsidP="00FD5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7A2" w:rsidP="00FD5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537A2" w:rsidP="00FD5B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B60" w:rsidRPr="000537A2" w:rsidP="00053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A2" w:rsidRPr="002D2AF8" w:rsidP="00FD5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CPPDSM4028 Identify and analyse risks and opportunities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537A2" w:rsidP="00FD5B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BA3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D81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FC2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B60"/>
  </w:style>
  <w:style w:type="character" w:customStyle="1" w:styleId="Heading1Char">
    <w:name w:val="Heading 1 Char"/>
    <w:basedOn w:val="DefaultParagraphFont"/>
    <w:link w:val="Heading1"/>
    <w:rsid w:val="00FD5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B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B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B60"/>
    <w:rPr>
      <w:b/>
      <w:spacing w:val="0"/>
    </w:rPr>
  </w:style>
  <w:style w:type="paragraph" w:styleId="ListBullet2">
    <w:name w:val="List Bullet 2"/>
    <w:basedOn w:val="List2"/>
    <w:rsid w:val="00FD5B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5B60"/>
    <w:rPr>
      <w:i/>
    </w:rPr>
  </w:style>
  <w:style w:type="paragraph" w:customStyle="1" w:styleId="SuperHeading">
    <w:name w:val="SuperHeading"/>
    <w:basedOn w:val="Normal"/>
    <w:rsid w:val="00FD5B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B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B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B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B60"/>
  </w:style>
  <w:style w:type="paragraph" w:styleId="TableofFigures">
    <w:name w:val="table of figures"/>
    <w:basedOn w:val="Normal"/>
    <w:next w:val="Normal"/>
    <w:semiHidden/>
    <w:rsid w:val="00FD5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B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5B60"/>
    <w:rPr>
      <w:rFonts w:ascii="Wingdings" w:hAnsi="Wingdings"/>
    </w:rPr>
  </w:style>
  <w:style w:type="paragraph" w:customStyle="1" w:styleId="TableHeading">
    <w:name w:val="Table Heading"/>
    <w:basedOn w:val="HeadingBase"/>
    <w:rsid w:val="00FD5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B60"/>
    <w:rPr>
      <w:color w:val="0033CC"/>
      <w:u w:val="none"/>
    </w:rPr>
  </w:style>
  <w:style w:type="paragraph" w:customStyle="1" w:styleId="BodyTextRight">
    <w:name w:val="Body Text Right"/>
    <w:basedOn w:val="BodyText"/>
    <w:rsid w:val="00FD5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B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B60"/>
    <w:rPr>
      <w:sz w:val="32"/>
    </w:rPr>
  </w:style>
  <w:style w:type="paragraph" w:customStyle="1" w:styleId="HeadingProcedure">
    <w:name w:val="Heading Procedure"/>
    <w:basedOn w:val="HeadingBase"/>
    <w:next w:val="Normal"/>
    <w:rsid w:val="00FD5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B60"/>
    <w:pPr>
      <w:spacing w:before="60" w:after="60"/>
    </w:pPr>
  </w:style>
  <w:style w:type="paragraph" w:styleId="ListContinue">
    <w:name w:val="List Continue"/>
    <w:basedOn w:val="List"/>
    <w:rsid w:val="00FD5B60"/>
    <w:pPr>
      <w:ind w:firstLine="0"/>
    </w:pPr>
  </w:style>
  <w:style w:type="paragraph" w:customStyle="1" w:styleId="ListNote">
    <w:name w:val="List Note"/>
    <w:basedOn w:val="List"/>
    <w:rsid w:val="00FD5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B60"/>
    <w:rPr>
      <w:rFonts w:ascii="Courier New" w:hAnsi="Courier New"/>
    </w:rPr>
  </w:style>
  <w:style w:type="paragraph" w:customStyle="1" w:styleId="NoteBullet">
    <w:name w:val="Note Bullet"/>
    <w:basedOn w:val="Note"/>
    <w:rsid w:val="00FD5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B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5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B60"/>
    <w:rPr>
      <w:b/>
      <w:smallCaps/>
    </w:rPr>
  </w:style>
  <w:style w:type="paragraph" w:customStyle="1" w:styleId="TableListNumber">
    <w:name w:val="Table List Number"/>
    <w:basedOn w:val="ListNumber"/>
    <w:rsid w:val="00FD5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B60"/>
    <w:pPr>
      <w:numPr>
        <w:numId w:val="9"/>
      </w:numPr>
    </w:pPr>
  </w:style>
  <w:style w:type="paragraph" w:customStyle="1" w:styleId="ListAlpha2">
    <w:name w:val="List Alpha 2"/>
    <w:basedOn w:val="List2"/>
    <w:rsid w:val="00FD5B60"/>
    <w:pPr>
      <w:numPr>
        <w:numId w:val="8"/>
      </w:numPr>
    </w:pPr>
  </w:style>
  <w:style w:type="paragraph" w:styleId="List2">
    <w:name w:val="List 2"/>
    <w:basedOn w:val="BodyText"/>
    <w:rsid w:val="00FD5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B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B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B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B60"/>
    <w:pPr>
      <w:numPr>
        <w:numId w:val="4"/>
      </w:numPr>
    </w:pPr>
  </w:style>
  <w:style w:type="paragraph" w:styleId="ListContinue2">
    <w:name w:val="List Continue 2"/>
    <w:basedOn w:val="List2"/>
    <w:rsid w:val="00FD5B60"/>
    <w:pPr>
      <w:ind w:firstLine="0"/>
    </w:pPr>
  </w:style>
  <w:style w:type="paragraph" w:styleId="ListContinue3">
    <w:name w:val="List Continue 3"/>
    <w:basedOn w:val="List3"/>
    <w:rsid w:val="00FD5B60"/>
    <w:pPr>
      <w:ind w:left="1021" w:firstLine="0"/>
    </w:pPr>
  </w:style>
  <w:style w:type="paragraph" w:styleId="ListContinue4">
    <w:name w:val="List Continue 4"/>
    <w:basedOn w:val="List4"/>
    <w:rsid w:val="00FD5B60"/>
    <w:pPr>
      <w:ind w:firstLine="0"/>
    </w:pPr>
  </w:style>
  <w:style w:type="paragraph" w:styleId="ListContinue5">
    <w:name w:val="List Continue 5"/>
    <w:basedOn w:val="List5"/>
    <w:rsid w:val="00FD5B60"/>
    <w:pPr>
      <w:ind w:firstLine="0"/>
    </w:pPr>
  </w:style>
  <w:style w:type="paragraph" w:styleId="ListNumber3">
    <w:name w:val="List Number 3"/>
    <w:basedOn w:val="List3"/>
    <w:rsid w:val="00FD5B60"/>
    <w:pPr>
      <w:numPr>
        <w:numId w:val="5"/>
      </w:numPr>
    </w:pPr>
  </w:style>
  <w:style w:type="paragraph" w:styleId="ListNumber4">
    <w:name w:val="List Number 4"/>
    <w:basedOn w:val="List4"/>
    <w:rsid w:val="00FD5B60"/>
    <w:pPr>
      <w:numPr>
        <w:numId w:val="6"/>
      </w:numPr>
    </w:pPr>
  </w:style>
  <w:style w:type="paragraph" w:styleId="ListNumber5">
    <w:name w:val="List Number 5"/>
    <w:basedOn w:val="List5"/>
    <w:rsid w:val="00FD5B60"/>
    <w:pPr>
      <w:numPr>
        <w:numId w:val="7"/>
      </w:numPr>
    </w:pPr>
  </w:style>
  <w:style w:type="paragraph" w:styleId="BlockText">
    <w:name w:val="Block Text"/>
    <w:basedOn w:val="Normal"/>
    <w:rsid w:val="00FD5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B60"/>
    <w:rPr>
      <w:sz w:val="16"/>
      <w:vertAlign w:val="superscript"/>
    </w:rPr>
  </w:style>
  <w:style w:type="character" w:customStyle="1" w:styleId="Symbols">
    <w:name w:val="Symbols"/>
    <w:basedOn w:val="DefaultParagraphFont"/>
    <w:rsid w:val="00FD5B60"/>
    <w:rPr>
      <w:rFonts w:ascii="Symbol" w:hAnsi="Symbol"/>
    </w:rPr>
  </w:style>
  <w:style w:type="character" w:customStyle="1" w:styleId="MenuOptions">
    <w:name w:val="Menu Options"/>
    <w:basedOn w:val="DefaultParagraphFont"/>
    <w:rsid w:val="00FD5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B60"/>
    <w:rPr>
      <w:b/>
    </w:rPr>
  </w:style>
  <w:style w:type="character" w:customStyle="1" w:styleId="Underlined">
    <w:name w:val="Underlined"/>
    <w:basedOn w:val="DefaultParagraphFont"/>
    <w:rsid w:val="00FD5B60"/>
    <w:rPr>
      <w:u w:val="single"/>
    </w:rPr>
  </w:style>
  <w:style w:type="paragraph" w:customStyle="1" w:styleId="TableBodyTextRight">
    <w:name w:val="Table Body Text Right"/>
    <w:basedOn w:val="TableBodyText"/>
    <w:rsid w:val="00FD5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B60"/>
    <w:rPr>
      <w:sz w:val="18"/>
    </w:rPr>
  </w:style>
  <w:style w:type="paragraph" w:customStyle="1" w:styleId="BodySmallRight">
    <w:name w:val="Body Small Right"/>
    <w:basedOn w:val="BodyTextRight"/>
    <w:rsid w:val="00FD5B60"/>
    <w:rPr>
      <w:sz w:val="18"/>
      <w:szCs w:val="18"/>
    </w:rPr>
  </w:style>
  <w:style w:type="paragraph" w:customStyle="1" w:styleId="MarginEdition">
    <w:name w:val="Margin Edition"/>
    <w:basedOn w:val="MarginNote"/>
    <w:rsid w:val="00FD5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B60"/>
    <w:rPr>
      <w:sz w:val="2"/>
      <w:szCs w:val="2"/>
    </w:rPr>
  </w:style>
  <w:style w:type="character" w:customStyle="1" w:styleId="Small">
    <w:name w:val="Small"/>
    <w:basedOn w:val="DefaultParagraphFont"/>
    <w:rsid w:val="00FD5B60"/>
    <w:rPr>
      <w:sz w:val="16"/>
    </w:rPr>
  </w:style>
  <w:style w:type="paragraph" w:customStyle="1" w:styleId="WideTable">
    <w:name w:val="Wide Table"/>
    <w:basedOn w:val="Normal"/>
    <w:rsid w:val="00FD5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B60"/>
  </w:style>
  <w:style w:type="paragraph" w:styleId="Quote">
    <w:name w:val="Quote"/>
    <w:basedOn w:val="Heading1"/>
    <w:link w:val="QuoteChar"/>
    <w:qFormat/>
    <w:rsid w:val="00FD5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B60"/>
    <w:pPr>
      <w:pageBreakBefore/>
    </w:pPr>
  </w:style>
  <w:style w:type="paragraph" w:customStyle="1" w:styleId="Border">
    <w:name w:val="Border"/>
    <w:basedOn w:val="Normal"/>
    <w:qFormat/>
    <w:rsid w:val="00FD5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B60"/>
    <w:rPr>
      <w:u w:val="single"/>
    </w:rPr>
  </w:style>
  <w:style w:type="character" w:customStyle="1" w:styleId="BoldandItalics">
    <w:name w:val="Bold and Italics"/>
    <w:qFormat/>
    <w:rsid w:val="00FD5B60"/>
    <w:rPr>
      <w:b/>
      <w:i/>
      <w:u w:val="none"/>
    </w:rPr>
  </w:style>
  <w:style w:type="paragraph" w:styleId="BalloonText">
    <w:name w:val="Balloon Text"/>
    <w:basedOn w:val="Normal"/>
    <w:link w:val="BalloonTextChar"/>
    <w:rsid w:val="00FD5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B60"/>
    <w:pPr>
      <w:spacing w:before="0" w:after="0"/>
    </w:pPr>
  </w:style>
  <w:style w:type="paragraph" w:customStyle="1" w:styleId="BodyTextBold">
    <w:name w:val="Body Text Bold"/>
    <w:basedOn w:val="BodyText"/>
    <w:qFormat/>
    <w:rsid w:val="00FD5B60"/>
    <w:rPr>
      <w:b/>
    </w:rPr>
  </w:style>
  <w:style w:type="character" w:styleId="Hyperlink">
    <w:name w:val="Hyperlink"/>
    <w:basedOn w:val="DefaultParagraphFont"/>
    <w:uiPriority w:val="99"/>
    <w:unhideWhenUsed/>
    <w:rsid w:val="00053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3085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CPPDSM4028 Identify and analyse risks and opportunities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