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EBD" w:rsidP="004A1EBD">
      <w:pPr>
        <w:pStyle w:val="Title"/>
      </w:pPr>
      <w:r>
        <w:fldChar w:fldCharType="begin"/>
      </w:r>
      <w:r>
        <w:instrText xml:space="preserve"> TITLE   \* MERGEFORMAT </w:instrText>
      </w:r>
      <w:r>
        <w:fldChar w:fldCharType="separate"/>
      </w:r>
      <w:r>
        <w:t>CPPDSM4020 Present at tribunals</w:t>
      </w:r>
      <w:r>
        <w:fldChar w:fldCharType="end"/>
      </w:r>
    </w:p>
    <w:p w:rsidR="004A1EBD" w:rsidP="004A1EBD">
      <w:pPr>
        <w:pStyle w:val="Version"/>
        <w:sectPr w:rsidSect="00D475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51B" w:rsidP="00D4751B">
      <w:pPr>
        <w:pStyle w:val="SuperHeading"/>
      </w:pPr>
      <w:r w:rsidRPr="00D4751B">
        <w:t>CPPDSM4020 Present at tribunals</w:t>
      </w:r>
    </w:p>
    <w:p w:rsidR="00000000" w:rsidRPr="00D4751B" w:rsidP="00D4751B">
      <w:pPr>
        <w:pStyle w:val="Heading1"/>
      </w:pPr>
      <w:bookmarkStart w:id="1" w:name="O_864406"/>
      <w:bookmarkEnd w:id="1"/>
      <w:r w:rsidRPr="00D4751B">
        <w:t>Modification History</w:t>
      </w:r>
    </w:p>
    <w:p w:rsidR="00000000" w:rsidRPr="00D4751B" w:rsidP="004A1EBD">
      <w:pPr>
        <w:pStyle w:val="BodyText"/>
      </w:pPr>
      <w:r w:rsidRPr="00D4751B">
        <w:t>Release 1.</w:t>
      </w:r>
    </w:p>
    <w:p w:rsidR="00000000" w:rsidRPr="00D4751B" w:rsidP="004A1EBD">
      <w:pPr>
        <w:pStyle w:val="BodyText"/>
      </w:pPr>
      <w:r w:rsidRPr="00D4751B">
        <w:t>Replaces superseded equivalent CPPDSM4020A Present at tribunals.</w:t>
      </w:r>
    </w:p>
    <w:p w:rsidR="00000000" w:rsidRPr="00D4751B" w:rsidP="004A1EBD">
      <w:pPr>
        <w:pStyle w:val="BodyText"/>
      </w:pPr>
      <w:r w:rsidRPr="00D4751B">
        <w:t>This version first released with CPP Property Services Training Package Version 5.</w:t>
      </w:r>
    </w:p>
    <w:p w:rsidR="00000000" w:rsidRPr="00D4751B" w:rsidP="00D4751B">
      <w:pPr>
        <w:pStyle w:val="Heading1"/>
      </w:pPr>
      <w:bookmarkStart w:id="2" w:name="O_864414"/>
      <w:bookmarkEnd w:id="2"/>
      <w:r w:rsidRPr="00D4751B">
        <w:t>Application</w:t>
      </w:r>
    </w:p>
    <w:p w:rsidR="00000000" w:rsidRPr="00D4751B" w:rsidP="004A1EBD">
      <w:pPr>
        <w:pStyle w:val="BodyText"/>
      </w:pPr>
      <w:r w:rsidRPr="00D4751B">
        <w:t>This unit of competency specifies the outcome</w:t>
      </w:r>
      <w:r w:rsidRPr="00D4751B">
        <w:t>s required to appear effectively before a tribunal. It includes preparing for tribunal hearings, using tribunal etiquette, acting as a witness, participating in conciliation hearings, and presenting a case.</w:t>
      </w:r>
    </w:p>
    <w:p w:rsidR="00000000" w:rsidRPr="00D4751B" w:rsidP="004A1EBD">
      <w:pPr>
        <w:pStyle w:val="BodyText"/>
      </w:pPr>
      <w:r w:rsidRPr="00D4751B">
        <w:t xml:space="preserve">The unit supports the work of property industry </w:t>
      </w:r>
      <w:r w:rsidRPr="00D4751B">
        <w:t>professionals, including licensed real estate agents, stock and station agents, strata managers and their authorised representatives involved in preparing and presenting cases at tribunals relating to property industry operations.</w:t>
      </w:r>
    </w:p>
    <w:p w:rsidR="00000000" w:rsidRPr="00D4751B" w:rsidP="004A1EBD">
      <w:pPr>
        <w:pStyle w:val="BodyText"/>
      </w:pPr>
      <w:r w:rsidRPr="00D4751B">
        <w:t xml:space="preserve">Licensing, legislative, </w:t>
      </w:r>
      <w:r w:rsidRPr="00D4751B">
        <w:t>regulatory or certification requirements apply to this unit in some States and Territories. Relevant state and territory regulatory authorities should be consulted to confirm those requirements.</w:t>
      </w:r>
    </w:p>
    <w:p w:rsidR="00000000" w:rsidRPr="00D4751B" w:rsidP="00D4751B">
      <w:pPr>
        <w:pStyle w:val="Heading1"/>
      </w:pPr>
      <w:bookmarkStart w:id="3" w:name="O_864413"/>
      <w:bookmarkEnd w:id="3"/>
      <w:r w:rsidRPr="00D4751B">
        <w:t>Pre-requisite Unit</w:t>
      </w:r>
    </w:p>
    <w:p w:rsidR="00000000" w:rsidRPr="00D4751B" w:rsidP="004A1EBD">
      <w:pPr>
        <w:pStyle w:val="BodyText"/>
      </w:pPr>
      <w:r w:rsidRPr="00D4751B">
        <w:t>Nil</w:t>
      </w:r>
    </w:p>
    <w:p w:rsidR="00000000" w:rsidRPr="00D4751B" w:rsidP="00D4751B">
      <w:pPr>
        <w:pStyle w:val="Heading1"/>
      </w:pPr>
      <w:bookmarkStart w:id="4" w:name="O_864412"/>
      <w:bookmarkEnd w:id="4"/>
      <w:r w:rsidRPr="00D4751B">
        <w:t>Comp</w:t>
      </w:r>
      <w:r w:rsidRPr="00D4751B">
        <w:t>etency Field</w:t>
      </w:r>
    </w:p>
    <w:p w:rsidR="00000000" w:rsidRPr="00D4751B" w:rsidP="004A1EBD">
      <w:pPr>
        <w:pStyle w:val="BodyText"/>
      </w:pPr>
      <w:r w:rsidRPr="00D4751B">
        <w:t>Strata community management</w:t>
      </w:r>
    </w:p>
    <w:p w:rsidR="00000000" w:rsidRPr="00D4751B" w:rsidP="00D4751B">
      <w:pPr>
        <w:pStyle w:val="Heading1"/>
      </w:pPr>
      <w:bookmarkStart w:id="5" w:name="O_864411"/>
      <w:bookmarkEnd w:id="5"/>
      <w:r w:rsidRPr="00D4751B">
        <w:t>Unit Sector</w:t>
      </w:r>
    </w:p>
    <w:p w:rsidR="00000000" w:rsidRPr="00D4751B" w:rsidP="004A1EBD">
      <w:pPr>
        <w:pStyle w:val="BodyText"/>
      </w:pPr>
      <w:r w:rsidRPr="00D4751B">
        <w:t>Property services</w:t>
      </w:r>
    </w:p>
    <w:p w:rsidR="00000000" w:rsidRPr="00D4751B" w:rsidP="00D4751B">
      <w:pPr>
        <w:pStyle w:val="Heading1"/>
      </w:pPr>
      <w:bookmarkStart w:id="6" w:name="O_864410"/>
      <w:bookmarkEnd w:id="6"/>
      <w:r w:rsidRPr="00D4751B">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4751B">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Performance criteria describe the performance needed to demonstrate achiev</w:t>
            </w:r>
            <w:r w:rsidRPr="00D4751B">
              <w:t xml:space="preserve">ement of the element. Where bold italicised </w:t>
            </w:r>
            <w:r w:rsidRPr="00D4751B">
              <w:t>text is used, further information is detailed in the range of conditions.</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1.</w:t>
            </w:r>
          </w:p>
        </w:tc>
        <w:tc>
          <w:tcPr>
            <w:tcW w:w="1936" w:type="dxa"/>
            <w:vMerge w:val="restart"/>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Prepare for tribunal.</w:t>
            </w: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1.1.</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Process for making an application to relevant tribunal is followed.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1.2.</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Documentation required for application to relevant tribunal is accurately completed.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1.3.</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Evidence and other documentation required for tribunal are prepared and reviewed.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1.4.</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Advice from appropriate assisting professionals is sought in preparing for tribunal hearing, as required.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1.5.</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Pre-tribunal hearing briefings are participated in as appropriate and required.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1.6.</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Procedure to follow where a matter has been settled prior to hearing is implemented in line with organisational and legislative requirements.</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2.</w:t>
            </w:r>
          </w:p>
        </w:tc>
        <w:tc>
          <w:tcPr>
            <w:tcW w:w="1936" w:type="dxa"/>
            <w:vMerge w:val="restart"/>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Participate in conciliation processes for grievances and disputes.</w:t>
            </w:r>
          </w:p>
        </w:tc>
        <w:tc>
          <w:tcPr>
            <w:tcW w:w="796" w:type="dxa"/>
            <w:tcBorders>
              <w:top w:val="nil"/>
              <w:left w:val="nil"/>
              <w:bottom w:val="nil"/>
              <w:right w:val="nil"/>
            </w:tcBorders>
            <w:tcMar>
              <w:top w:w="0" w:type="dxa"/>
              <w:left w:w="62" w:type="dxa"/>
              <w:bottom w:w="0" w:type="dxa"/>
              <w:right w:w="62" w:type="dxa"/>
            </w:tcMar>
          </w:tcPr>
          <w:p w:rsidR="00000000" w:rsidRPr="00D4751B" w:rsidP="00D4751B">
            <w:pPr>
              <w:pStyle w:val="BodyText"/>
            </w:pPr>
            <w:r w:rsidRPr="00D4751B">
              <w:t>2.1.</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rPr>
                <w:rStyle w:val="BoldandItalics"/>
              </w:rPr>
              <w:t>Purpose and role of conciliation</w:t>
            </w:r>
            <w:r w:rsidRPr="00D4751B">
              <w:t xml:space="preserve"> are c</w:t>
            </w:r>
            <w:r w:rsidRPr="00D4751B">
              <w:t>larified within particular tribunal and case context.</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2.2.</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Opportunities are explored to resolve grievances and disputes through conciliation.</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2.3.</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Conciliators are provided with complete and accurate information regarding grievance or dispute.</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2.4.</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Clear and concise formal case statements are prepared and provided for conciliator.</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2.5.</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Opportunities are taken to obtain relevant information from other parties during conciliation process.</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2.6.</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Realistic assessments are made of conciliated of</w:t>
            </w:r>
            <w:r w:rsidRPr="00D4751B">
              <w:t>fers against the likely outcome of continuing with conciliation process and any subsequent rulings from adjudicating body.</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3.</w:t>
            </w:r>
          </w:p>
        </w:tc>
        <w:tc>
          <w:tcPr>
            <w:tcW w:w="1936" w:type="dxa"/>
            <w:vMerge w:val="restart"/>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Use appropriate tribunal etiquette.</w:t>
            </w: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3.1.</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Appropriate manner of entering and departing tribunal is used.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3.2.</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Appropriate manner of addressing tribunal is used.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3.3.</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Relevant legal and industry language is used where appropriate.</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4.</w:t>
            </w:r>
          </w:p>
        </w:tc>
        <w:tc>
          <w:tcPr>
            <w:tcW w:w="1936" w:type="dxa"/>
            <w:vMerge w:val="restart"/>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Present case before tribunal.</w:t>
            </w: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4.1.</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Rules and procedures of tribunal are applied.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4.2.</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Case is outlined in a clear and concise manner.</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4751B" w:rsidP="00D4751B">
            <w:pPr>
              <w:pStyle w:val="BodyText"/>
            </w:pPr>
            <w:r w:rsidRPr="00D4751B">
              <w:t>4.3.</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rPr>
                <w:rStyle w:val="BoldandItalics"/>
              </w:rPr>
              <w:t>Evidence</w:t>
            </w:r>
            <w:r w:rsidRPr="00D4751B">
              <w:t xml:space="preserve"> is given and routine </w:t>
            </w:r>
            <w:r w:rsidRPr="00D4751B">
              <w:rPr>
                <w:rStyle w:val="BoldandItalics"/>
              </w:rPr>
              <w:t>examination of witnesses</w:t>
            </w:r>
            <w:r w:rsidRPr="00D4751B">
              <w:t xml:space="preserve"> is undertaken appropriately.</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4.4.</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Relevant decisions and precedents are referred to appropriately.</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4.5.</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Respondent submissions are responded to appropriately.</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4.6.</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Questions and directions from tribunal are responded to appropriately.</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4.7.</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Statement of reasons for tribunal decision is requested in line with tribunal and agency practice.</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5.</w:t>
            </w:r>
          </w:p>
        </w:tc>
        <w:tc>
          <w:tcPr>
            <w:tcW w:w="193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Act as a witness.</w:t>
            </w:r>
          </w:p>
        </w:tc>
        <w:tc>
          <w:tcPr>
            <w:tcW w:w="796" w:type="dxa"/>
            <w:tcBorders>
              <w:top w:val="nil"/>
              <w:left w:val="nil"/>
              <w:bottom w:val="nil"/>
              <w:right w:val="nil"/>
            </w:tcBorders>
            <w:tcMar>
              <w:top w:w="0" w:type="dxa"/>
              <w:left w:w="62" w:type="dxa"/>
              <w:bottom w:w="0" w:type="dxa"/>
              <w:right w:w="62" w:type="dxa"/>
            </w:tcMar>
          </w:tcPr>
          <w:p w:rsidR="00000000" w:rsidRPr="00D4751B" w:rsidP="00D4751B">
            <w:pPr>
              <w:pStyle w:val="BodyText"/>
            </w:pPr>
            <w:r w:rsidRPr="00D4751B">
              <w:t>5.1.</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rPr>
                <w:rStyle w:val="BoldandItalics"/>
              </w:rPr>
              <w:t>Pre- and post-tribunal briefings and debriefings</w:t>
            </w:r>
            <w:r w:rsidRPr="00D4751B">
              <w:t xml:space="preserve"> are participated in as required. </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5.2.</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Evidence is provided clearly and concisely using factual descriptions that reflect questions and directions asked by tribunal or legal represe</w:t>
            </w:r>
            <w:r w:rsidRPr="00D4751B">
              <w:t>ntatives.</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5.3.</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Requirements of tribunal processes and proceedings are observed while acting as witness.</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5.4.</w:t>
            </w:r>
          </w:p>
        </w:tc>
        <w:tc>
          <w:tcPr>
            <w:tcW w:w="5610"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Liaison with appropriate legal representatives is maintained.</w:t>
            </w:r>
          </w:p>
        </w:tc>
      </w:tr>
      <w:tr w:rsidTr="00D4751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5.5.</w:t>
            </w:r>
          </w:p>
        </w:tc>
        <w:tc>
          <w:tcPr>
            <w:tcW w:w="5610" w:type="dxa"/>
            <w:tcBorders>
              <w:top w:val="nil"/>
              <w:left w:val="nil"/>
              <w:bottom w:val="nil"/>
              <w:right w:val="nil"/>
            </w:tcBorders>
            <w:tcMar>
              <w:top w:w="0" w:type="dxa"/>
              <w:left w:w="62" w:type="dxa"/>
              <w:bottom w:w="0" w:type="dxa"/>
              <w:right w:w="62" w:type="dxa"/>
            </w:tcMar>
          </w:tcPr>
          <w:p w:rsidR="00000000" w:rsidRPr="00D4751B" w:rsidP="00D4751B">
            <w:pPr>
              <w:pStyle w:val="BodyText"/>
            </w:pPr>
            <w:r w:rsidRPr="00D4751B">
              <w:t>Appropriate and required documentation and reporting are completed and stored according to agency practice.</w:t>
            </w:r>
          </w:p>
        </w:tc>
      </w:tr>
    </w:tbl>
    <w:p w:rsidR="00000000" w:rsidRPr="00D4751B" w:rsidP="00D4751B">
      <w:pPr>
        <w:pStyle w:val="BodyText"/>
      </w:pPr>
    </w:p>
    <w:p w:rsidR="00000000" w:rsidRPr="00D4751B" w:rsidP="00D4751B">
      <w:pPr>
        <w:pStyle w:val="AllowPageBreak"/>
      </w:pPr>
    </w:p>
    <w:p w:rsidR="00000000" w:rsidRPr="00D4751B" w:rsidP="00D4751B">
      <w:pPr>
        <w:pStyle w:val="Heading1"/>
      </w:pPr>
      <w:bookmarkStart w:id="7" w:name="O_864409"/>
      <w:bookmarkEnd w:id="7"/>
      <w:r w:rsidRPr="00D4751B">
        <w:t>Foundation Skills</w:t>
      </w:r>
    </w:p>
    <w:tbl>
      <w:tblPr>
        <w:tblW w:w="0" w:type="auto"/>
        <w:tblLayout w:type="fixed"/>
        <w:tblCellMar>
          <w:left w:w="62" w:type="dxa"/>
          <w:right w:w="62" w:type="dxa"/>
        </w:tblCellMar>
        <w:tblLook w:val="0000"/>
      </w:tblPr>
      <w:tblGrid>
        <w:gridCol w:w="2195"/>
        <w:gridCol w:w="6877"/>
      </w:tblGrid>
      <w:tr w:rsidTr="00D475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 xml:space="preserve">This section describes the language, literacy, numeracy and employment skills essential to performance in this </w:t>
            </w:r>
            <w:r w:rsidRPr="00D4751B">
              <w:t>unit but not explicit in the performance criteria.</w:t>
            </w:r>
          </w:p>
        </w:tc>
      </w:tr>
      <w:tr w:rsidTr="00D475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4751B" w:rsidP="00D4751B">
            <w:pPr>
              <w:pStyle w:val="BodyText"/>
            </w:pPr>
            <w:r w:rsidRPr="00D4751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rPr>
                <w:rStyle w:val="SpecialBold"/>
              </w:rPr>
              <w:t>Performance feature</w:t>
            </w:r>
          </w:p>
        </w:tc>
      </w:tr>
      <w:tr w:rsidTr="00D475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Learning skills to:</w:t>
            </w:r>
          </w:p>
        </w:tc>
        <w:tc>
          <w:tcPr>
            <w:tcW w:w="6877" w:type="dxa"/>
            <w:tcBorders>
              <w:top w:val="nil"/>
              <w:left w:val="nil"/>
              <w:bottom w:val="nil"/>
              <w:right w:val="nil"/>
            </w:tcBorders>
            <w:tcMar>
              <w:top w:w="0" w:type="dxa"/>
              <w:left w:w="62" w:type="dxa"/>
              <w:bottom w:w="0" w:type="dxa"/>
              <w:right w:w="62" w:type="dxa"/>
            </w:tcMar>
          </w:tcPr>
          <w:p w:rsidR="00000000" w:rsidP="00D4751B">
            <w:pPr>
              <w:pStyle w:val="ListBullet"/>
              <w:rPr>
                <w:lang w:val="en-NZ"/>
              </w:rPr>
            </w:pPr>
            <w:r w:rsidRPr="00D4751B">
              <w:t>maintain current knowledge of tribunal procedures.</w:t>
            </w:r>
          </w:p>
        </w:tc>
      </w:tr>
      <w:tr w:rsidTr="00D475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Numeracy skills to:</w:t>
            </w:r>
          </w:p>
        </w:tc>
        <w:tc>
          <w:tcPr>
            <w:tcW w:w="6877" w:type="dxa"/>
            <w:tcBorders>
              <w:top w:val="nil"/>
              <w:left w:val="nil"/>
              <w:bottom w:val="nil"/>
              <w:right w:val="nil"/>
            </w:tcBorders>
            <w:tcMar>
              <w:top w:w="0" w:type="dxa"/>
              <w:left w:w="62" w:type="dxa"/>
              <w:bottom w:w="0" w:type="dxa"/>
              <w:right w:w="62" w:type="dxa"/>
            </w:tcMar>
          </w:tcPr>
          <w:p w:rsidR="00000000" w:rsidP="00D4751B">
            <w:pPr>
              <w:pStyle w:val="ListBullet"/>
              <w:rPr>
                <w:lang w:val="en-NZ"/>
              </w:rPr>
            </w:pPr>
            <w:r w:rsidRPr="00D4751B">
              <w:t xml:space="preserve">interpret graphical and statistical material that is provided as evidence. </w:t>
            </w:r>
          </w:p>
        </w:tc>
      </w:tr>
      <w:tr w:rsidTr="00D475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D4751B" w:rsidP="00D4751B">
            <w:pPr>
              <w:pStyle w:val="ListBullet"/>
            </w:pPr>
            <w:r w:rsidRPr="00D4751B">
              <w:t>ask questions to clarify procedures used in conciliation and tribunal processes</w:t>
            </w:r>
          </w:p>
          <w:p w:rsidR="00000000" w:rsidP="00D4751B">
            <w:pPr>
              <w:pStyle w:val="ListBullet"/>
              <w:rPr>
                <w:lang w:val="en-NZ"/>
              </w:rPr>
            </w:pPr>
            <w:r w:rsidRPr="00D4751B">
              <w:t>provide verbal testimony and respond to questions in tribunal hearings; reiterating, summarising and clarifying as required.</w:t>
            </w:r>
          </w:p>
        </w:tc>
      </w:tr>
      <w:tr w:rsidTr="00D475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Reading skills to:</w:t>
            </w:r>
          </w:p>
        </w:tc>
        <w:tc>
          <w:tcPr>
            <w:tcW w:w="6877" w:type="dxa"/>
            <w:tcBorders>
              <w:top w:val="nil"/>
              <w:left w:val="nil"/>
              <w:bottom w:val="nil"/>
              <w:right w:val="nil"/>
            </w:tcBorders>
            <w:tcMar>
              <w:top w:w="0" w:type="dxa"/>
              <w:left w:w="62" w:type="dxa"/>
              <w:bottom w:w="0" w:type="dxa"/>
              <w:right w:w="62" w:type="dxa"/>
            </w:tcMar>
          </w:tcPr>
          <w:p w:rsidR="00000000" w:rsidP="00D4751B">
            <w:pPr>
              <w:pStyle w:val="ListBullet"/>
              <w:rPr>
                <w:lang w:val="en-NZ"/>
              </w:rPr>
            </w:pPr>
            <w:r w:rsidRPr="00D4751B">
              <w:t>access and interpret sometimes complex written text on tribunal rules and procedures.</w:t>
            </w:r>
          </w:p>
        </w:tc>
      </w:tr>
      <w:tr w:rsidTr="00D475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Writing skills to:</w:t>
            </w:r>
          </w:p>
        </w:tc>
        <w:tc>
          <w:tcPr>
            <w:tcW w:w="6877" w:type="dxa"/>
            <w:tcBorders>
              <w:top w:val="nil"/>
              <w:left w:val="nil"/>
              <w:bottom w:val="nil"/>
              <w:right w:val="nil"/>
            </w:tcBorders>
            <w:tcMar>
              <w:top w:w="0" w:type="dxa"/>
              <w:left w:w="62" w:type="dxa"/>
              <w:bottom w:w="0" w:type="dxa"/>
              <w:right w:w="62" w:type="dxa"/>
            </w:tcMar>
          </w:tcPr>
          <w:p w:rsidR="00000000" w:rsidP="00D4751B">
            <w:pPr>
              <w:pStyle w:val="ListBullet"/>
              <w:rPr>
                <w:lang w:val="en-NZ"/>
              </w:rPr>
            </w:pPr>
            <w:r w:rsidRPr="00D4751B">
              <w:t>prepare summaries and take notes on information presented in</w:t>
            </w:r>
            <w:r w:rsidRPr="00D4751B">
              <w:rPr>
                <w:rStyle w:val="BoldandItalics"/>
              </w:rPr>
              <w:t xml:space="preserve"> </w:t>
            </w:r>
            <w:r w:rsidRPr="00D4751B">
              <w:t>pre- and</w:t>
            </w:r>
            <w:r w:rsidRPr="00D4751B">
              <w:rPr>
                <w:rStyle w:val="BoldandItalics"/>
              </w:rPr>
              <w:t xml:space="preserve"> </w:t>
            </w:r>
            <w:r w:rsidRPr="00D4751B">
              <w:t>post-hearing tribunal briefings and debriefings.</w:t>
            </w:r>
          </w:p>
        </w:tc>
      </w:tr>
      <w:tr w:rsidTr="00D4751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Technology skills to:</w:t>
            </w:r>
          </w:p>
        </w:tc>
        <w:tc>
          <w:tcPr>
            <w:tcW w:w="6877" w:type="dxa"/>
            <w:tcBorders>
              <w:top w:val="nil"/>
              <w:left w:val="nil"/>
              <w:bottom w:val="nil"/>
              <w:right w:val="nil"/>
            </w:tcBorders>
            <w:tcMar>
              <w:top w:w="0" w:type="dxa"/>
              <w:left w:w="62" w:type="dxa"/>
              <w:bottom w:w="0" w:type="dxa"/>
              <w:right w:w="62" w:type="dxa"/>
            </w:tcMar>
          </w:tcPr>
          <w:p w:rsidR="00000000" w:rsidRPr="00D4751B" w:rsidP="00D4751B">
            <w:pPr>
              <w:pStyle w:val="ListBullet"/>
            </w:pPr>
            <w:r w:rsidRPr="00D4751B">
              <w:t>acces</w:t>
            </w:r>
            <w:r w:rsidRPr="00D4751B">
              <w:t>s online information when preparing for tribunal hearings.</w:t>
            </w:r>
          </w:p>
        </w:tc>
      </w:tr>
    </w:tbl>
    <w:p w:rsidR="00000000" w:rsidRPr="00D4751B" w:rsidP="00D4751B">
      <w:pPr>
        <w:pStyle w:val="BodyText"/>
      </w:pPr>
    </w:p>
    <w:p w:rsidR="00000000" w:rsidRPr="00D4751B" w:rsidP="00D4751B">
      <w:pPr>
        <w:pStyle w:val="AllowPageBreak"/>
      </w:pPr>
    </w:p>
    <w:p w:rsidR="00000000" w:rsidRPr="00D4751B" w:rsidP="00D4751B">
      <w:pPr>
        <w:pStyle w:val="Heading1"/>
      </w:pPr>
      <w:bookmarkStart w:id="8" w:name="O_864408"/>
      <w:bookmarkEnd w:id="8"/>
      <w:r w:rsidRPr="00D4751B">
        <w:t>Range of Conditions</w:t>
      </w:r>
    </w:p>
    <w:tbl>
      <w:tblPr>
        <w:tblW w:w="0" w:type="auto"/>
        <w:tblLayout w:type="fixed"/>
        <w:tblCellMar>
          <w:left w:w="62" w:type="dxa"/>
          <w:right w:w="62" w:type="dxa"/>
        </w:tblCellMar>
        <w:tblLook w:val="0000"/>
      </w:tblPr>
      <w:tblGrid>
        <w:gridCol w:w="2364"/>
        <w:gridCol w:w="6708"/>
      </w:tblGrid>
      <w:tr w:rsidTr="00D475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t xml:space="preserve">This section specifies work environments and conditions that may affect performance. Essential operating conditions that may be present (depending </w:t>
            </w:r>
            <w:r w:rsidRPr="00D4751B">
              <w:t>on the work situation, needs of the candidate, accessibility of the item, and local industry and regional contexts) are included. Bold italicised wording, if used in the performance criteria, is detailed below.</w:t>
            </w:r>
          </w:p>
        </w:tc>
      </w:tr>
      <w:tr w:rsidTr="00D4751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rPr>
                <w:rStyle w:val="BoldandItalics"/>
              </w:rPr>
              <w:t>Purpose and role of conciliation</w:t>
            </w:r>
            <w:r w:rsidRPr="00D4751B">
              <w:t xml:space="preserve"> must inclu</w:t>
            </w:r>
            <w:r w:rsidRPr="00D4751B">
              <w:t>de:</w:t>
            </w:r>
          </w:p>
        </w:tc>
        <w:tc>
          <w:tcPr>
            <w:tcW w:w="6708" w:type="dxa"/>
            <w:tcBorders>
              <w:top w:val="nil"/>
              <w:left w:val="nil"/>
              <w:bottom w:val="nil"/>
              <w:right w:val="nil"/>
            </w:tcBorders>
            <w:tcMar>
              <w:top w:w="0" w:type="dxa"/>
              <w:left w:w="62" w:type="dxa"/>
              <w:bottom w:w="0" w:type="dxa"/>
              <w:right w:w="62" w:type="dxa"/>
            </w:tcMar>
          </w:tcPr>
          <w:p w:rsidR="00000000" w:rsidRPr="00D4751B" w:rsidP="00D4751B">
            <w:pPr>
              <w:pStyle w:val="ListBullet"/>
            </w:pPr>
            <w:r w:rsidRPr="00D4751B">
              <w:t>giving parties a chance to settle a matter on their terms</w:t>
            </w:r>
          </w:p>
          <w:p w:rsidR="00000000" w:rsidP="00D4751B">
            <w:pPr>
              <w:pStyle w:val="ListBullet"/>
              <w:rPr>
                <w:lang w:val="en-NZ"/>
              </w:rPr>
            </w:pPr>
            <w:r w:rsidRPr="00D4751B">
              <w:t>giving parties the opportunity to hold a frank discussion about the complaint in an attempt to resolve the matter through negotiation.</w:t>
            </w:r>
          </w:p>
        </w:tc>
      </w:tr>
      <w:tr w:rsidTr="00D4751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rPr>
                <w:rStyle w:val="BoldandItalics"/>
              </w:rPr>
              <w:t xml:space="preserve">Evidence </w:t>
            </w:r>
            <w:r w:rsidRPr="00D4751B">
              <w:t xml:space="preserve">must include information that: </w:t>
            </w:r>
          </w:p>
        </w:tc>
        <w:tc>
          <w:tcPr>
            <w:tcW w:w="6708" w:type="dxa"/>
            <w:tcBorders>
              <w:top w:val="nil"/>
              <w:left w:val="nil"/>
              <w:bottom w:val="nil"/>
              <w:right w:val="nil"/>
            </w:tcBorders>
            <w:tcMar>
              <w:top w:w="0" w:type="dxa"/>
              <w:left w:w="62" w:type="dxa"/>
              <w:bottom w:w="0" w:type="dxa"/>
              <w:right w:w="62" w:type="dxa"/>
            </w:tcMar>
          </w:tcPr>
          <w:p w:rsidR="00000000" w:rsidRPr="00D4751B" w:rsidP="00D4751B">
            <w:pPr>
              <w:pStyle w:val="ListBullet"/>
            </w:pPr>
            <w:r w:rsidRPr="00D4751B">
              <w:t>is descriptive</w:t>
            </w:r>
          </w:p>
          <w:p w:rsidR="00000000" w:rsidRPr="00D4751B" w:rsidP="00D4751B">
            <w:pPr>
              <w:pStyle w:val="ListBullet"/>
            </w:pPr>
            <w:r w:rsidRPr="00D4751B">
              <w:t>is devoid of assumptions or judgemental statements</w:t>
            </w:r>
          </w:p>
          <w:p w:rsidR="00000000" w:rsidP="00D4751B">
            <w:pPr>
              <w:pStyle w:val="ListBullet"/>
              <w:rPr>
                <w:lang w:val="en-NZ"/>
              </w:rPr>
            </w:pPr>
            <w:r w:rsidRPr="00D4751B">
              <w:t>represents details and facts of evidence pertinent to the case.</w:t>
            </w:r>
          </w:p>
        </w:tc>
      </w:tr>
      <w:tr w:rsidTr="00D4751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rPr>
                <w:rStyle w:val="BoldandItalics"/>
              </w:rPr>
              <w:t>Examination of witnesses</w:t>
            </w:r>
            <w:r w:rsidRPr="00D4751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4751B" w:rsidP="00D4751B">
            <w:pPr>
              <w:pStyle w:val="ListBullet"/>
            </w:pPr>
            <w:r w:rsidRPr="00D4751B">
              <w:t>cross-examining respondent witnesses</w:t>
            </w:r>
          </w:p>
          <w:p w:rsidR="00000000" w:rsidRPr="00D4751B" w:rsidP="00D4751B">
            <w:pPr>
              <w:pStyle w:val="ListBullet"/>
            </w:pPr>
            <w:r w:rsidRPr="00D4751B">
              <w:t>questioning own witnesses</w:t>
            </w:r>
          </w:p>
          <w:p w:rsidR="00000000" w:rsidP="00D4751B">
            <w:pPr>
              <w:pStyle w:val="ListBullet"/>
              <w:rPr>
                <w:lang w:val="en-NZ"/>
              </w:rPr>
            </w:pPr>
            <w:r w:rsidRPr="00D4751B">
              <w:t>re-examining own or respondent witnesses.</w:t>
            </w:r>
          </w:p>
        </w:tc>
      </w:tr>
      <w:tr w:rsidTr="00D4751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751B">
            <w:pPr>
              <w:pStyle w:val="BodyText"/>
              <w:rPr>
                <w:lang w:val="en-NZ"/>
              </w:rPr>
            </w:pPr>
            <w:r w:rsidRPr="00D4751B">
              <w:rPr>
                <w:rStyle w:val="BoldandItalics"/>
              </w:rPr>
              <w:t>Pre- and post-tribunal briefings and debriefings</w:t>
            </w:r>
            <w:r w:rsidRPr="00D4751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4751B" w:rsidP="00D4751B">
            <w:pPr>
              <w:pStyle w:val="ListBullet"/>
            </w:pPr>
            <w:r w:rsidRPr="00D4751B">
              <w:t>details of the case</w:t>
            </w:r>
          </w:p>
          <w:p w:rsidR="00000000" w:rsidRPr="00D4751B" w:rsidP="00D4751B">
            <w:pPr>
              <w:pStyle w:val="ListBullet"/>
            </w:pPr>
            <w:r w:rsidRPr="00D4751B">
              <w:t>outcomes and consequences of tribunal decisions</w:t>
            </w:r>
          </w:p>
          <w:p w:rsidR="00000000" w:rsidRPr="00D4751B" w:rsidP="00D4751B">
            <w:pPr>
              <w:pStyle w:val="ListBullet"/>
            </w:pPr>
            <w:r w:rsidRPr="00D4751B">
              <w:t>presentation of evidence</w:t>
            </w:r>
          </w:p>
          <w:p w:rsidR="00000000" w:rsidRPr="00D4751B" w:rsidP="00D4751B">
            <w:pPr>
              <w:pStyle w:val="ListBullet"/>
            </w:pPr>
            <w:r w:rsidRPr="00D4751B">
              <w:t>rules of evidence</w:t>
            </w:r>
          </w:p>
          <w:p w:rsidR="00000000" w:rsidRPr="00D4751B" w:rsidP="00D4751B">
            <w:pPr>
              <w:pStyle w:val="ListBullet"/>
            </w:pPr>
            <w:r w:rsidRPr="00D4751B">
              <w:t>tribunal protocol.</w:t>
            </w:r>
          </w:p>
        </w:tc>
      </w:tr>
    </w:tbl>
    <w:p w:rsidR="00000000" w:rsidRPr="00D4751B" w:rsidP="00D4751B">
      <w:pPr>
        <w:pStyle w:val="BodyText"/>
      </w:pPr>
    </w:p>
    <w:p w:rsidR="00000000" w:rsidRPr="00D4751B" w:rsidP="00D4751B">
      <w:pPr>
        <w:pStyle w:val="AllowPageBreak"/>
      </w:pPr>
    </w:p>
    <w:p w:rsidR="00000000" w:rsidRPr="00D4751B" w:rsidP="00D4751B">
      <w:pPr>
        <w:pStyle w:val="Heading1"/>
      </w:pPr>
      <w:bookmarkStart w:id="9" w:name="O_864407"/>
      <w:bookmarkEnd w:id="9"/>
      <w:r w:rsidRPr="00D4751B">
        <w:t>Unit Mapping Information</w:t>
      </w:r>
    </w:p>
    <w:p w:rsidR="00000000" w:rsidRPr="00D4751B" w:rsidP="004A1EBD">
      <w:pPr>
        <w:pStyle w:val="BodyText"/>
      </w:pPr>
      <w:r w:rsidRPr="00D4751B">
        <w:t>CPPDSM4020A Present at tribunals</w:t>
      </w:r>
    </w:p>
    <w:p w:rsidR="00000000" w:rsidRPr="00D4751B" w:rsidP="00D4751B">
      <w:pPr>
        <w:pStyle w:val="Heading1"/>
      </w:pPr>
      <w:bookmarkStart w:id="10" w:name="O_864400"/>
      <w:bookmarkEnd w:id="10"/>
      <w:r w:rsidRPr="00D4751B">
        <w:t>Links</w:t>
      </w:r>
    </w:p>
    <w:p w:rsidR="00000000" w:rsidRPr="00D4751B" w:rsidP="004A1EBD">
      <w:pPr>
        <w:pStyle w:val="BodyText"/>
      </w:pPr>
      <w:r w:rsidRPr="00D4751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17873">
        <w:rPr>
          <w:rStyle w:val="Hyperlink"/>
        </w:rPr>
        <w:t>https://vetnet.gov.au/Pages/TrainingDocs.aspx?q=6f3f9672-30e8-4835-b348-205dfcf13d9b</w:t>
      </w:r>
      <w:r>
        <w:fldChar w:fldCharType="end"/>
      </w:r>
    </w:p>
    <w:p w:rsidR="00000000" w:rsidRPr="00D4751B" w:rsidP="00D4751B"/>
    <w:sectPr w:rsidSect="00D475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1B" w:rsidRPr="004A1EBD" w:rsidP="004A1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BD" w:rsidP="00D47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1EBD" w:rsidP="00D475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A1EBD" w:rsidP="00D47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51B" w:rsidRPr="004A1EBD" w:rsidP="004A1E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EBD" w:rsidRPr="002D2AF8" w:rsidP="00D4751B">
    <w:pPr>
      <w:pStyle w:val="Header"/>
      <w:framePr w:wrap="around"/>
    </w:pPr>
    <w:r>
      <w:fldChar w:fldCharType="begin"/>
    </w:r>
    <w:r>
      <w:instrText xml:space="preserve"> TITLE   \* MERGEFORMAT </w:instrText>
    </w:r>
    <w:r>
      <w:fldChar w:fldCharType="separate"/>
    </w:r>
    <w:r>
      <w:t>CPPDSM4020 Present at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4A1EBD" w:rsidP="00D47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E60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F218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51B"/>
    <w:pPr>
      <w:spacing w:before="360" w:after="60"/>
      <w:outlineLvl w:val="0"/>
    </w:pPr>
    <w:rPr>
      <w:sz w:val="32"/>
    </w:rPr>
  </w:style>
  <w:style w:type="paragraph" w:styleId="Heading2">
    <w:name w:val="heading 2"/>
    <w:basedOn w:val="HeadingBase"/>
    <w:next w:val="BodyText"/>
    <w:link w:val="Heading2Char"/>
    <w:qFormat/>
    <w:rsid w:val="00D4751B"/>
    <w:pPr>
      <w:keepLines/>
      <w:spacing w:before="240" w:after="120"/>
      <w:outlineLvl w:val="1"/>
    </w:pPr>
    <w:rPr>
      <w:sz w:val="28"/>
      <w:szCs w:val="40"/>
    </w:rPr>
  </w:style>
  <w:style w:type="paragraph" w:styleId="Heading3">
    <w:name w:val="heading 3"/>
    <w:basedOn w:val="HeadingBase"/>
    <w:next w:val="BodyText"/>
    <w:link w:val="Heading3Char"/>
    <w:qFormat/>
    <w:rsid w:val="00D4751B"/>
    <w:pPr>
      <w:spacing w:before="180" w:after="120"/>
      <w:outlineLvl w:val="2"/>
    </w:pPr>
    <w:rPr>
      <w:spacing w:val="-10"/>
      <w:kern w:val="32"/>
    </w:rPr>
  </w:style>
  <w:style w:type="paragraph" w:styleId="Heading4">
    <w:name w:val="heading 4"/>
    <w:basedOn w:val="HeadingBase"/>
    <w:next w:val="BodyText"/>
    <w:link w:val="Heading4Char"/>
    <w:qFormat/>
    <w:rsid w:val="00D4751B"/>
    <w:pPr>
      <w:spacing w:before="160" w:after="120"/>
      <w:outlineLvl w:val="3"/>
    </w:pPr>
    <w:rPr>
      <w:sz w:val="22"/>
    </w:rPr>
  </w:style>
  <w:style w:type="paragraph" w:styleId="Heading5">
    <w:name w:val="heading 5"/>
    <w:basedOn w:val="HeadingBase"/>
    <w:next w:val="Normal"/>
    <w:link w:val="Heading5Char"/>
    <w:qFormat/>
    <w:rsid w:val="00D4751B"/>
    <w:pPr>
      <w:spacing w:before="80"/>
      <w:outlineLvl w:val="4"/>
    </w:pPr>
    <w:rPr>
      <w:color w:val="918585"/>
      <w:sz w:val="20"/>
    </w:rPr>
  </w:style>
  <w:style w:type="paragraph" w:styleId="Heading6">
    <w:name w:val="heading 6"/>
    <w:basedOn w:val="HeadingBase"/>
    <w:next w:val="Normal"/>
    <w:link w:val="Heading6Char"/>
    <w:qFormat/>
    <w:rsid w:val="00D4751B"/>
    <w:pPr>
      <w:spacing w:before="60"/>
      <w:outlineLvl w:val="5"/>
    </w:pPr>
    <w:rPr>
      <w:color w:val="918585"/>
      <w:sz w:val="20"/>
    </w:rPr>
  </w:style>
  <w:style w:type="paragraph" w:styleId="Heading7">
    <w:name w:val="heading 7"/>
    <w:basedOn w:val="Normal"/>
    <w:next w:val="Normal"/>
    <w:link w:val="Heading7Char"/>
    <w:qFormat/>
    <w:rsid w:val="00D4751B"/>
    <w:pPr>
      <w:ind w:left="720"/>
      <w:outlineLvl w:val="6"/>
    </w:pPr>
    <w:rPr>
      <w:i/>
    </w:rPr>
  </w:style>
  <w:style w:type="paragraph" w:styleId="Heading8">
    <w:name w:val="heading 8"/>
    <w:basedOn w:val="Normal"/>
    <w:next w:val="Normal"/>
    <w:link w:val="Heading8Char"/>
    <w:qFormat/>
    <w:rsid w:val="00D4751B"/>
    <w:pPr>
      <w:ind w:left="720"/>
      <w:outlineLvl w:val="7"/>
    </w:pPr>
    <w:rPr>
      <w:i/>
    </w:rPr>
  </w:style>
  <w:style w:type="paragraph" w:styleId="Heading9">
    <w:name w:val="heading 9"/>
    <w:basedOn w:val="Normal"/>
    <w:next w:val="Normal"/>
    <w:link w:val="Heading9Char"/>
    <w:qFormat/>
    <w:rsid w:val="00D4751B"/>
    <w:pPr>
      <w:ind w:left="720"/>
      <w:outlineLvl w:val="8"/>
    </w:pPr>
    <w:rPr>
      <w:i/>
    </w:rPr>
  </w:style>
  <w:style w:type="character" w:default="1" w:styleId="DefaultParagraphFont">
    <w:name w:val="Default Paragraph Font"/>
    <w:uiPriority w:val="1"/>
    <w:unhideWhenUsed/>
    <w:rsid w:val="00D47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51B"/>
  </w:style>
  <w:style w:type="character" w:customStyle="1" w:styleId="Heading1Char">
    <w:name w:val="Heading 1 Char"/>
    <w:basedOn w:val="DefaultParagraphFont"/>
    <w:link w:val="Heading1"/>
    <w:rsid w:val="00D4751B"/>
    <w:rPr>
      <w:rFonts w:ascii="Times New Roman" w:eastAsia="Times New Roman" w:hAnsi="Times New Roman" w:cs="Times New Roman"/>
      <w:b/>
      <w:sz w:val="32"/>
      <w:szCs w:val="20"/>
      <w:lang w:eastAsia="en-US"/>
    </w:rPr>
  </w:style>
  <w:style w:type="paragraph" w:styleId="BodyText">
    <w:name w:val="Body Text"/>
    <w:basedOn w:val="Normal"/>
    <w:link w:val="BodyTextChar"/>
    <w:rsid w:val="00D47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51B"/>
    <w:rPr>
      <w:rFonts w:ascii="Times New Roman" w:eastAsia="Times New Roman" w:hAnsi="Times New Roman" w:cs="Times New Roman"/>
      <w:sz w:val="24"/>
      <w:lang w:eastAsia="en-US"/>
    </w:rPr>
  </w:style>
  <w:style w:type="paragraph" w:styleId="ListBullet">
    <w:name w:val="List Bullet"/>
    <w:basedOn w:val="List"/>
    <w:rsid w:val="00D4751B"/>
    <w:pPr>
      <w:numPr>
        <w:numId w:val="11"/>
      </w:numPr>
      <w:tabs>
        <w:tab w:val="clear" w:pos="340"/>
      </w:tabs>
      <w:spacing w:before="40" w:after="40"/>
    </w:pPr>
  </w:style>
  <w:style w:type="character" w:customStyle="1" w:styleId="SpecialBold">
    <w:name w:val="Special Bold"/>
    <w:basedOn w:val="DefaultParagraphFont"/>
    <w:rsid w:val="00D4751B"/>
    <w:rPr>
      <w:b/>
      <w:spacing w:val="0"/>
    </w:rPr>
  </w:style>
  <w:style w:type="paragraph" w:customStyle="1" w:styleId="SuperHeading">
    <w:name w:val="SuperHeading"/>
    <w:basedOn w:val="Normal"/>
    <w:rsid w:val="00D4751B"/>
    <w:pPr>
      <w:spacing w:before="240" w:after="120"/>
      <w:outlineLvl w:val="0"/>
    </w:pPr>
    <w:rPr>
      <w:rFonts w:ascii="Times New Roman" w:hAnsi="Times New Roman"/>
      <w:b/>
      <w:sz w:val="32"/>
    </w:rPr>
  </w:style>
  <w:style w:type="paragraph" w:customStyle="1" w:styleId="AllowPageBreak">
    <w:name w:val="AllowPageBreak"/>
    <w:rsid w:val="00D475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751B"/>
    <w:rPr>
      <w:b/>
      <w:i/>
      <w:u w:val="none"/>
    </w:rPr>
  </w:style>
  <w:style w:type="character" w:customStyle="1" w:styleId="Heading2Char">
    <w:name w:val="Heading 2 Char"/>
    <w:basedOn w:val="DefaultParagraphFont"/>
    <w:link w:val="Heading2"/>
    <w:rsid w:val="00D47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51B"/>
    <w:rPr>
      <w:rFonts w:ascii="Courier New" w:eastAsia="Times New Roman" w:hAnsi="Courier New" w:cs="Times New Roman"/>
      <w:i/>
      <w:szCs w:val="20"/>
      <w:lang w:eastAsia="en-US"/>
    </w:rPr>
  </w:style>
  <w:style w:type="paragraph" w:customStyle="1" w:styleId="HeadingBase">
    <w:name w:val="Heading Base"/>
    <w:rsid w:val="00D47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51B"/>
    <w:pPr>
      <w:tabs>
        <w:tab w:val="right" w:leader="dot" w:pos="9072"/>
      </w:tabs>
      <w:ind w:left="567"/>
    </w:pPr>
    <w:rPr>
      <w:szCs w:val="22"/>
    </w:rPr>
  </w:style>
  <w:style w:type="paragraph" w:customStyle="1" w:styleId="TOCBase">
    <w:name w:val="TOC Base"/>
    <w:rsid w:val="00D47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51B"/>
    <w:pPr>
      <w:tabs>
        <w:tab w:val="right" w:leader="dot" w:pos="9072"/>
      </w:tabs>
      <w:spacing w:before="40" w:after="40"/>
      <w:ind w:left="284"/>
    </w:pPr>
    <w:rPr>
      <w:rFonts w:ascii="Times New Roman" w:hAnsi="Times New Roman"/>
    </w:rPr>
  </w:style>
  <w:style w:type="paragraph" w:styleId="TOC1">
    <w:name w:val="toc 1"/>
    <w:basedOn w:val="TOCBase"/>
    <w:next w:val="Normal"/>
    <w:rsid w:val="00D47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51B"/>
    <w:rPr>
      <w:rFonts w:ascii="Times New Roman" w:eastAsia="Times New Roman" w:hAnsi="Times New Roman" w:cs="Times New Roman"/>
      <w:sz w:val="16"/>
      <w:lang w:eastAsia="en-US"/>
    </w:rPr>
  </w:style>
  <w:style w:type="paragraph" w:styleId="Title">
    <w:name w:val="Title"/>
    <w:basedOn w:val="HeadingBase"/>
    <w:link w:val="TitleChar"/>
    <w:qFormat/>
    <w:rsid w:val="00D4751B"/>
    <w:pPr>
      <w:spacing w:before="5040"/>
      <w:jc w:val="center"/>
    </w:pPr>
    <w:rPr>
      <w:sz w:val="48"/>
      <w:szCs w:val="72"/>
      <w:lang w:val="en-US"/>
    </w:rPr>
  </w:style>
  <w:style w:type="character" w:customStyle="1" w:styleId="TitleChar">
    <w:name w:val="Title Char"/>
    <w:basedOn w:val="DefaultParagraphFont"/>
    <w:link w:val="Title"/>
    <w:rsid w:val="00D47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51B"/>
    <w:pPr>
      <w:tabs>
        <w:tab w:val="left" w:pos="3600"/>
        <w:tab w:val="left" w:pos="3958"/>
      </w:tabs>
    </w:pPr>
  </w:style>
  <w:style w:type="paragraph" w:styleId="List">
    <w:name w:val="List"/>
    <w:basedOn w:val="BodyText"/>
    <w:next w:val="BodyText"/>
    <w:rsid w:val="00D4751B"/>
    <w:pPr>
      <w:tabs>
        <w:tab w:val="left" w:pos="340"/>
      </w:tabs>
      <w:spacing w:before="60" w:after="60"/>
      <w:ind w:left="340" w:hanging="340"/>
    </w:pPr>
  </w:style>
  <w:style w:type="paragraph" w:customStyle="1" w:styleId="Note">
    <w:name w:val="Note"/>
    <w:basedOn w:val="BodyText"/>
    <w:rsid w:val="00D47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51B"/>
    <w:pPr>
      <w:framePr w:wrap="auto" w:hAnchor="text" w:y="6049"/>
    </w:pPr>
    <w:rPr>
      <w:color w:val="000000"/>
      <w:sz w:val="40"/>
    </w:rPr>
  </w:style>
  <w:style w:type="paragraph" w:customStyle="1" w:styleId="TOCTitle">
    <w:name w:val="TOCTitle"/>
    <w:basedOn w:val="Heading1"/>
    <w:rsid w:val="00D4751B"/>
    <w:pPr>
      <w:spacing w:after="240"/>
      <w:jc w:val="center"/>
      <w:outlineLvl w:val="9"/>
    </w:pPr>
    <w:rPr>
      <w:caps/>
    </w:rPr>
  </w:style>
  <w:style w:type="paragraph" w:customStyle="1" w:styleId="Version">
    <w:name w:val="Version"/>
    <w:rsid w:val="00D475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51B"/>
    <w:pPr>
      <w:numPr>
        <w:numId w:val="12"/>
      </w:numPr>
      <w:tabs>
        <w:tab w:val="clear" w:pos="680"/>
      </w:tabs>
    </w:pPr>
  </w:style>
  <w:style w:type="paragraph" w:styleId="Index1">
    <w:name w:val="index 1"/>
    <w:basedOn w:val="Normal"/>
    <w:next w:val="Normal"/>
    <w:semiHidden/>
    <w:rsid w:val="00D4751B"/>
    <w:pPr>
      <w:keepNext w:val="0"/>
      <w:tabs>
        <w:tab w:val="right" w:pos="4176"/>
      </w:tabs>
      <w:ind w:left="198" w:hanging="198"/>
    </w:pPr>
    <w:rPr>
      <w:rFonts w:ascii="Garamond" w:hAnsi="Garamond"/>
    </w:rPr>
  </w:style>
  <w:style w:type="paragraph" w:styleId="IndexHeading">
    <w:name w:val="index heading"/>
    <w:basedOn w:val="Normal"/>
    <w:next w:val="Index1"/>
    <w:semiHidden/>
    <w:rsid w:val="00D4751B"/>
    <w:pPr>
      <w:spacing w:before="120" w:after="120"/>
    </w:pPr>
    <w:rPr>
      <w:rFonts w:ascii="Arial" w:hAnsi="Arial"/>
      <w:b/>
      <w:color w:val="918585"/>
      <w:sz w:val="24"/>
    </w:rPr>
  </w:style>
  <w:style w:type="paragraph" w:styleId="Header">
    <w:name w:val="header"/>
    <w:basedOn w:val="Normal"/>
    <w:link w:val="HeaderChar"/>
    <w:rsid w:val="00D47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51B"/>
    <w:rPr>
      <w:rFonts w:ascii="Times New Roman" w:eastAsia="Times New Roman" w:hAnsi="Times New Roman" w:cs="Times New Roman"/>
      <w:sz w:val="16"/>
      <w:szCs w:val="20"/>
      <w:lang w:val="en-GB" w:eastAsia="en-US"/>
    </w:rPr>
  </w:style>
  <w:style w:type="paragraph" w:customStyle="1" w:styleId="Chapter">
    <w:name w:val="Chapter"/>
    <w:basedOn w:val="Normal"/>
    <w:rsid w:val="00D4751B"/>
    <w:pPr>
      <w:spacing w:before="240"/>
    </w:pPr>
    <w:rPr>
      <w:rFonts w:ascii="Times New Roman" w:hAnsi="Times New Roman"/>
      <w:smallCaps/>
      <w:spacing w:val="80"/>
      <w:sz w:val="28"/>
    </w:rPr>
  </w:style>
  <w:style w:type="paragraph" w:customStyle="1" w:styleId="InChapter">
    <w:name w:val="InChapter"/>
    <w:basedOn w:val="Heading3"/>
    <w:rsid w:val="00D4751B"/>
    <w:pPr>
      <w:spacing w:after="240"/>
      <w:outlineLvl w:val="9"/>
    </w:pPr>
    <w:rPr>
      <w:noProof/>
    </w:rPr>
  </w:style>
  <w:style w:type="paragraph" w:styleId="Index2">
    <w:name w:val="index 2"/>
    <w:basedOn w:val="Normal"/>
    <w:next w:val="Normal"/>
    <w:semiHidden/>
    <w:rsid w:val="00D4751B"/>
    <w:pPr>
      <w:tabs>
        <w:tab w:val="right" w:pos="4176"/>
      </w:tabs>
      <w:ind w:left="568" w:hanging="284"/>
    </w:pPr>
    <w:rPr>
      <w:rFonts w:ascii="Garamond" w:hAnsi="Garamond"/>
    </w:rPr>
  </w:style>
  <w:style w:type="paragraph" w:customStyle="1" w:styleId="Byline">
    <w:name w:val="Byline"/>
    <w:rsid w:val="00D47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51B"/>
    <w:pPr>
      <w:tabs>
        <w:tab w:val="clear" w:pos="3600"/>
        <w:tab w:val="clear" w:pos="3958"/>
      </w:tabs>
      <w:jc w:val="right"/>
    </w:pPr>
  </w:style>
  <w:style w:type="character" w:styleId="Emphasis">
    <w:name w:val="Emphasis"/>
    <w:basedOn w:val="DefaultParagraphFont"/>
    <w:qFormat/>
    <w:rsid w:val="00D4751B"/>
    <w:rPr>
      <w:i/>
    </w:rPr>
  </w:style>
  <w:style w:type="paragraph" w:styleId="Caption">
    <w:name w:val="caption"/>
    <w:basedOn w:val="BodyText"/>
    <w:next w:val="Normal"/>
    <w:qFormat/>
    <w:rsid w:val="00D4751B"/>
    <w:pPr>
      <w:framePr w:w="2268" w:hSpace="181" w:vSpace="181" w:wrap="around" w:vAnchor="text" w:hAnchor="page" w:x="1135" w:y="285" w:anchorLock="1"/>
    </w:pPr>
    <w:rPr>
      <w:i/>
    </w:rPr>
  </w:style>
  <w:style w:type="paragraph" w:customStyle="1" w:styleId="MiniTOCTitle">
    <w:name w:val="MiniTOCTitle"/>
    <w:basedOn w:val="Heading4"/>
    <w:rsid w:val="00D4751B"/>
    <w:pPr>
      <w:spacing w:before="240"/>
      <w:outlineLvl w:val="9"/>
    </w:pPr>
    <w:rPr>
      <w:noProof/>
      <w:sz w:val="24"/>
    </w:rPr>
  </w:style>
  <w:style w:type="paragraph" w:customStyle="1" w:styleId="MiniTOCItem">
    <w:name w:val="MiniTOCItem"/>
    <w:basedOn w:val="ListBullet"/>
    <w:rsid w:val="00D4751B"/>
    <w:pPr>
      <w:numPr>
        <w:numId w:val="0"/>
      </w:numPr>
      <w:tabs>
        <w:tab w:val="right" w:leader="dot" w:pos="6521"/>
      </w:tabs>
      <w:spacing w:before="0" w:after="0"/>
    </w:pPr>
  </w:style>
  <w:style w:type="paragraph" w:customStyle="1" w:styleId="TOFTitle">
    <w:name w:val="TOFTitle"/>
    <w:basedOn w:val="TOCTitle"/>
    <w:rsid w:val="00D4751B"/>
  </w:style>
  <w:style w:type="paragraph" w:styleId="TableofFigures">
    <w:name w:val="table of figures"/>
    <w:basedOn w:val="Normal"/>
    <w:next w:val="Normal"/>
    <w:semiHidden/>
    <w:rsid w:val="00D4751B"/>
    <w:pPr>
      <w:tabs>
        <w:tab w:val="right" w:leader="dot" w:pos="9072"/>
      </w:tabs>
      <w:ind w:left="970" w:hanging="403"/>
    </w:pPr>
    <w:rPr>
      <w:rFonts w:ascii="Times New Roman" w:hAnsi="Times New Roman"/>
      <w:b/>
    </w:rPr>
  </w:style>
  <w:style w:type="paragraph" w:styleId="ListNumber">
    <w:name w:val="List Number"/>
    <w:basedOn w:val="List"/>
    <w:rsid w:val="00D4751B"/>
    <w:pPr>
      <w:numPr>
        <w:numId w:val="14"/>
      </w:numPr>
      <w:tabs>
        <w:tab w:val="clear" w:pos="340"/>
      </w:tabs>
    </w:pPr>
  </w:style>
  <w:style w:type="character" w:customStyle="1" w:styleId="WingdingSymbols">
    <w:name w:val="Wingding Symbols"/>
    <w:rsid w:val="00D4751B"/>
    <w:rPr>
      <w:rFonts w:ascii="Wingdings" w:hAnsi="Wingdings"/>
    </w:rPr>
  </w:style>
  <w:style w:type="paragraph" w:customStyle="1" w:styleId="TableHeading">
    <w:name w:val="Table Heading"/>
    <w:basedOn w:val="HeadingBase"/>
    <w:rsid w:val="00D4751B"/>
    <w:pPr>
      <w:keepLines/>
      <w:pBdr>
        <w:bottom w:val="single" w:sz="6" w:space="1" w:color="918585"/>
      </w:pBdr>
      <w:spacing w:before="240"/>
    </w:pPr>
  </w:style>
  <w:style w:type="character" w:customStyle="1" w:styleId="HotSpot">
    <w:name w:val="HotSpot"/>
    <w:rsid w:val="00D4751B"/>
    <w:rPr>
      <w:color w:val="0033CC"/>
      <w:u w:val="none"/>
    </w:rPr>
  </w:style>
  <w:style w:type="paragraph" w:customStyle="1" w:styleId="BodyTextRight">
    <w:name w:val="Body Text Right"/>
    <w:basedOn w:val="BodyText"/>
    <w:rsid w:val="00D4751B"/>
    <w:pPr>
      <w:spacing w:before="0" w:after="0"/>
      <w:jc w:val="right"/>
    </w:pPr>
  </w:style>
  <w:style w:type="paragraph" w:styleId="Index3">
    <w:name w:val="index 3"/>
    <w:basedOn w:val="ListNumber2"/>
    <w:next w:val="Normal"/>
    <w:semiHidden/>
    <w:rsid w:val="00D4751B"/>
    <w:pPr>
      <w:numPr>
        <w:numId w:val="0"/>
      </w:numPr>
      <w:tabs>
        <w:tab w:val="right" w:leader="dot" w:pos="4176"/>
      </w:tabs>
    </w:pPr>
  </w:style>
  <w:style w:type="paragraph" w:styleId="ListNumber2">
    <w:name w:val="List Number 2"/>
    <w:basedOn w:val="List2"/>
    <w:rsid w:val="00D4751B"/>
    <w:pPr>
      <w:numPr>
        <w:numId w:val="9"/>
      </w:numPr>
      <w:tabs>
        <w:tab w:val="clear" w:pos="1060"/>
      </w:tabs>
    </w:pPr>
  </w:style>
  <w:style w:type="paragraph" w:customStyle="1" w:styleId="MarginNote">
    <w:name w:val="Margin Note"/>
    <w:basedOn w:val="BodyText"/>
    <w:rsid w:val="00D47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51B"/>
    <w:rPr>
      <w:sz w:val="32"/>
    </w:rPr>
  </w:style>
  <w:style w:type="paragraph" w:customStyle="1" w:styleId="HeadingProcedure">
    <w:name w:val="Heading Procedure"/>
    <w:basedOn w:val="HeadingBase"/>
    <w:next w:val="Normal"/>
    <w:rsid w:val="00D4751B"/>
    <w:pPr>
      <w:tabs>
        <w:tab w:val="left" w:pos="0"/>
      </w:tabs>
      <w:spacing w:before="120" w:after="60"/>
    </w:pPr>
    <w:rPr>
      <w:i/>
      <w:color w:val="918585"/>
      <w:sz w:val="22"/>
    </w:rPr>
  </w:style>
  <w:style w:type="paragraph" w:customStyle="1" w:styleId="TableBodyText">
    <w:name w:val="Table Body Text"/>
    <w:basedOn w:val="BodyText"/>
    <w:rsid w:val="00D4751B"/>
    <w:pPr>
      <w:spacing w:before="60" w:after="60"/>
    </w:pPr>
  </w:style>
  <w:style w:type="paragraph" w:styleId="ListContinue">
    <w:name w:val="List Continue"/>
    <w:basedOn w:val="List"/>
    <w:rsid w:val="00D4751B"/>
    <w:pPr>
      <w:ind w:firstLine="0"/>
    </w:pPr>
  </w:style>
  <w:style w:type="paragraph" w:customStyle="1" w:styleId="ListNote">
    <w:name w:val="List Note"/>
    <w:basedOn w:val="List"/>
    <w:rsid w:val="00D4751B"/>
    <w:pPr>
      <w:pBdr>
        <w:top w:val="single" w:sz="6" w:space="2" w:color="918585"/>
        <w:bottom w:val="single" w:sz="6" w:space="2" w:color="918585"/>
      </w:pBdr>
      <w:tabs>
        <w:tab w:val="left" w:pos="1021"/>
      </w:tabs>
      <w:ind w:firstLine="0"/>
    </w:pPr>
  </w:style>
  <w:style w:type="paragraph" w:customStyle="1" w:styleId="Warning">
    <w:name w:val="Warning"/>
    <w:basedOn w:val="BodyText"/>
    <w:rsid w:val="00D4751B"/>
    <w:pPr>
      <w:shd w:val="clear" w:color="auto" w:fill="D9D9D9"/>
      <w:tabs>
        <w:tab w:val="left" w:pos="992"/>
      </w:tabs>
      <w:ind w:left="119" w:right="119"/>
    </w:pPr>
    <w:rPr>
      <w:sz w:val="20"/>
    </w:rPr>
  </w:style>
  <w:style w:type="paragraph" w:customStyle="1" w:styleId="MarginIcons">
    <w:name w:val="Margin Icons"/>
    <w:basedOn w:val="BodyText"/>
    <w:rsid w:val="00D47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51B"/>
    <w:rPr>
      <w:rFonts w:ascii="Courier New" w:hAnsi="Courier New"/>
    </w:rPr>
  </w:style>
  <w:style w:type="paragraph" w:customStyle="1" w:styleId="NoteBullet">
    <w:name w:val="Note Bullet"/>
    <w:basedOn w:val="Note"/>
    <w:rsid w:val="00D4751B"/>
    <w:pPr>
      <w:tabs>
        <w:tab w:val="clear" w:pos="680"/>
      </w:tabs>
      <w:spacing w:before="60" w:after="60"/>
    </w:pPr>
  </w:style>
  <w:style w:type="paragraph" w:customStyle="1" w:styleId="SubHeading2">
    <w:name w:val="SubHeading2"/>
    <w:basedOn w:val="HeadingBase"/>
    <w:rsid w:val="00D4751B"/>
    <w:pPr>
      <w:spacing w:before="240" w:after="60"/>
    </w:pPr>
    <w:rPr>
      <w:sz w:val="20"/>
    </w:rPr>
  </w:style>
  <w:style w:type="paragraph" w:customStyle="1" w:styleId="SubHeading1">
    <w:name w:val="SubHeading1"/>
    <w:basedOn w:val="HeadingBase"/>
    <w:rsid w:val="00D4751B"/>
    <w:pPr>
      <w:spacing w:before="240" w:after="60"/>
    </w:pPr>
    <w:rPr>
      <w:color w:val="918585"/>
      <w:sz w:val="22"/>
    </w:rPr>
  </w:style>
  <w:style w:type="paragraph" w:customStyle="1" w:styleId="SideHeading">
    <w:name w:val="Side Heading"/>
    <w:basedOn w:val="HeadingBase"/>
    <w:rsid w:val="00D47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51B"/>
    <w:pPr>
      <w:numPr>
        <w:numId w:val="10"/>
      </w:numPr>
    </w:pPr>
  </w:style>
  <w:style w:type="paragraph" w:styleId="PlainText">
    <w:name w:val="Plain Text"/>
    <w:basedOn w:val="Normal"/>
    <w:link w:val="PlainTextChar"/>
    <w:rsid w:val="00D4751B"/>
    <w:rPr>
      <w:sz w:val="20"/>
    </w:rPr>
  </w:style>
  <w:style w:type="character" w:customStyle="1" w:styleId="PlainTextChar">
    <w:name w:val="Plain Text Char"/>
    <w:basedOn w:val="DefaultParagraphFont"/>
    <w:link w:val="PlainText"/>
    <w:rsid w:val="00D4751B"/>
    <w:rPr>
      <w:rFonts w:ascii="Courier New" w:eastAsia="Times New Roman" w:hAnsi="Courier New" w:cs="Times New Roman"/>
      <w:sz w:val="20"/>
      <w:szCs w:val="20"/>
      <w:lang w:eastAsia="en-US"/>
    </w:rPr>
  </w:style>
  <w:style w:type="character" w:customStyle="1" w:styleId="MenuOption">
    <w:name w:val="Menu Option"/>
    <w:basedOn w:val="DefaultParagraphFont"/>
    <w:rsid w:val="00D4751B"/>
    <w:rPr>
      <w:b/>
      <w:smallCaps/>
    </w:rPr>
  </w:style>
  <w:style w:type="paragraph" w:customStyle="1" w:styleId="TableListNumber">
    <w:name w:val="Table List Number"/>
    <w:basedOn w:val="ListNumber"/>
    <w:rsid w:val="00D4751B"/>
    <w:pPr>
      <w:numPr>
        <w:numId w:val="0"/>
      </w:numPr>
    </w:pPr>
  </w:style>
  <w:style w:type="paragraph" w:styleId="TOC4">
    <w:name w:val="toc 4"/>
    <w:basedOn w:val="TOCBase"/>
    <w:next w:val="Normal"/>
    <w:semiHidden/>
    <w:rsid w:val="00D4751B"/>
    <w:pPr>
      <w:tabs>
        <w:tab w:val="right" w:leader="dot" w:pos="9071"/>
      </w:tabs>
      <w:ind w:left="1701"/>
    </w:pPr>
  </w:style>
  <w:style w:type="paragraph" w:customStyle="1" w:styleId="ListAlpha">
    <w:name w:val="List Alpha"/>
    <w:basedOn w:val="List"/>
    <w:rsid w:val="00D4751B"/>
    <w:pPr>
      <w:numPr>
        <w:numId w:val="8"/>
      </w:numPr>
    </w:pPr>
  </w:style>
  <w:style w:type="paragraph" w:customStyle="1" w:styleId="ListAlpha2">
    <w:name w:val="List Alpha 2"/>
    <w:basedOn w:val="List2"/>
    <w:rsid w:val="00D4751B"/>
    <w:pPr>
      <w:numPr>
        <w:numId w:val="7"/>
      </w:numPr>
    </w:pPr>
  </w:style>
  <w:style w:type="paragraph" w:styleId="List2">
    <w:name w:val="List 2"/>
    <w:basedOn w:val="BodyText"/>
    <w:rsid w:val="00D4751B"/>
    <w:pPr>
      <w:tabs>
        <w:tab w:val="left" w:pos="680"/>
      </w:tabs>
      <w:spacing w:before="60" w:after="60"/>
      <w:ind w:left="680" w:hanging="340"/>
    </w:pPr>
  </w:style>
  <w:style w:type="paragraph" w:styleId="List3">
    <w:name w:val="List 3"/>
    <w:basedOn w:val="BodyText"/>
    <w:rsid w:val="00D4751B"/>
    <w:pPr>
      <w:tabs>
        <w:tab w:val="left" w:pos="1021"/>
      </w:tabs>
      <w:spacing w:before="60" w:after="60"/>
      <w:ind w:left="1020" w:hanging="340"/>
    </w:pPr>
  </w:style>
  <w:style w:type="paragraph" w:styleId="List4">
    <w:name w:val="List 4"/>
    <w:basedOn w:val="BodyText"/>
    <w:rsid w:val="00D4751B"/>
    <w:pPr>
      <w:tabs>
        <w:tab w:val="left" w:pos="1361"/>
      </w:tabs>
      <w:spacing w:before="60" w:after="60"/>
      <w:ind w:left="1361" w:hanging="340"/>
    </w:pPr>
  </w:style>
  <w:style w:type="paragraph" w:styleId="List5">
    <w:name w:val="List 5"/>
    <w:basedOn w:val="BodyText"/>
    <w:rsid w:val="00D4751B"/>
    <w:pPr>
      <w:tabs>
        <w:tab w:val="left" w:pos="1701"/>
      </w:tabs>
      <w:spacing w:before="60" w:after="60"/>
      <w:ind w:left="1701" w:hanging="340"/>
    </w:pPr>
  </w:style>
  <w:style w:type="paragraph" w:styleId="ListBullet3">
    <w:name w:val="List Bullet 3"/>
    <w:basedOn w:val="List3"/>
    <w:rsid w:val="00D4751B"/>
    <w:pPr>
      <w:numPr>
        <w:numId w:val="13"/>
      </w:numPr>
      <w:tabs>
        <w:tab w:val="clear" w:pos="1021"/>
      </w:tabs>
      <w:ind w:left="1037" w:hanging="357"/>
    </w:pPr>
  </w:style>
  <w:style w:type="paragraph" w:styleId="ListBullet4">
    <w:name w:val="List Bullet 4"/>
    <w:basedOn w:val="List4"/>
    <w:rsid w:val="00D4751B"/>
    <w:pPr>
      <w:numPr>
        <w:numId w:val="2"/>
      </w:numPr>
      <w:tabs>
        <w:tab w:val="clear" w:pos="1361"/>
      </w:tabs>
    </w:pPr>
  </w:style>
  <w:style w:type="paragraph" w:styleId="ListBullet5">
    <w:name w:val="List Bullet 5"/>
    <w:basedOn w:val="List5"/>
    <w:rsid w:val="00D4751B"/>
    <w:pPr>
      <w:numPr>
        <w:numId w:val="3"/>
      </w:numPr>
    </w:pPr>
  </w:style>
  <w:style w:type="paragraph" w:styleId="ListContinue2">
    <w:name w:val="List Continue 2"/>
    <w:basedOn w:val="List2"/>
    <w:rsid w:val="00D4751B"/>
    <w:pPr>
      <w:ind w:firstLine="0"/>
    </w:pPr>
  </w:style>
  <w:style w:type="paragraph" w:styleId="ListContinue3">
    <w:name w:val="List Continue 3"/>
    <w:basedOn w:val="List3"/>
    <w:rsid w:val="00D4751B"/>
    <w:pPr>
      <w:ind w:left="1021" w:firstLine="0"/>
    </w:pPr>
  </w:style>
  <w:style w:type="paragraph" w:styleId="ListContinue4">
    <w:name w:val="List Continue 4"/>
    <w:basedOn w:val="List4"/>
    <w:rsid w:val="00D4751B"/>
    <w:pPr>
      <w:ind w:firstLine="0"/>
    </w:pPr>
  </w:style>
  <w:style w:type="paragraph" w:styleId="ListContinue5">
    <w:name w:val="List Continue 5"/>
    <w:basedOn w:val="List5"/>
    <w:rsid w:val="00D4751B"/>
    <w:pPr>
      <w:ind w:firstLine="0"/>
    </w:pPr>
  </w:style>
  <w:style w:type="paragraph" w:styleId="ListNumber3">
    <w:name w:val="List Number 3"/>
    <w:basedOn w:val="List3"/>
    <w:rsid w:val="00D4751B"/>
    <w:pPr>
      <w:numPr>
        <w:numId w:val="4"/>
      </w:numPr>
    </w:pPr>
  </w:style>
  <w:style w:type="paragraph" w:styleId="ListNumber4">
    <w:name w:val="List Number 4"/>
    <w:basedOn w:val="List4"/>
    <w:rsid w:val="00D4751B"/>
    <w:pPr>
      <w:numPr>
        <w:numId w:val="5"/>
      </w:numPr>
    </w:pPr>
  </w:style>
  <w:style w:type="paragraph" w:styleId="ListNumber5">
    <w:name w:val="List Number 5"/>
    <w:basedOn w:val="List5"/>
    <w:rsid w:val="00D4751B"/>
    <w:pPr>
      <w:numPr>
        <w:numId w:val="6"/>
      </w:numPr>
    </w:pPr>
  </w:style>
  <w:style w:type="paragraph" w:styleId="BlockText">
    <w:name w:val="Block Text"/>
    <w:basedOn w:val="Normal"/>
    <w:rsid w:val="00D4751B"/>
    <w:pPr>
      <w:spacing w:after="120"/>
      <w:ind w:left="1440" w:right="1440"/>
    </w:pPr>
  </w:style>
  <w:style w:type="character" w:customStyle="1" w:styleId="Subscript">
    <w:name w:val="Subscript"/>
    <w:basedOn w:val="DefaultParagraphFont"/>
    <w:rsid w:val="00D4751B"/>
    <w:rPr>
      <w:sz w:val="16"/>
      <w:vertAlign w:val="subscript"/>
    </w:rPr>
  </w:style>
  <w:style w:type="character" w:customStyle="1" w:styleId="Superscript">
    <w:name w:val="Superscript"/>
    <w:basedOn w:val="DefaultParagraphFont"/>
    <w:rsid w:val="00D4751B"/>
    <w:rPr>
      <w:sz w:val="16"/>
      <w:vertAlign w:val="superscript"/>
    </w:rPr>
  </w:style>
  <w:style w:type="character" w:customStyle="1" w:styleId="Symbols">
    <w:name w:val="Symbols"/>
    <w:basedOn w:val="DefaultParagraphFont"/>
    <w:rsid w:val="00D4751B"/>
    <w:rPr>
      <w:rFonts w:ascii="Symbol" w:hAnsi="Symbol"/>
    </w:rPr>
  </w:style>
  <w:style w:type="character" w:customStyle="1" w:styleId="MenuOptions">
    <w:name w:val="Menu Options"/>
    <w:basedOn w:val="DefaultParagraphFont"/>
    <w:rsid w:val="00D4751B"/>
    <w:rPr>
      <w:rFonts w:ascii="Arial Narrow" w:hAnsi="Arial Narrow"/>
      <w:smallCaps/>
    </w:rPr>
  </w:style>
  <w:style w:type="character" w:customStyle="1" w:styleId="Buttons">
    <w:name w:val="Buttons"/>
    <w:basedOn w:val="DefaultParagraphFont"/>
    <w:rsid w:val="00D4751B"/>
    <w:rPr>
      <w:b/>
    </w:rPr>
  </w:style>
  <w:style w:type="character" w:customStyle="1" w:styleId="Underlined">
    <w:name w:val="Underlined"/>
    <w:basedOn w:val="DefaultParagraphFont"/>
    <w:rsid w:val="00D4751B"/>
    <w:rPr>
      <w:u w:val="single"/>
    </w:rPr>
  </w:style>
  <w:style w:type="paragraph" w:customStyle="1" w:styleId="TableBodyTextRight">
    <w:name w:val="Table Body Text Right"/>
    <w:basedOn w:val="TableBodyText"/>
    <w:rsid w:val="00D4751B"/>
    <w:pPr>
      <w:widowControl w:val="0"/>
      <w:autoSpaceDE w:val="0"/>
      <w:autoSpaceDN w:val="0"/>
      <w:adjustRightInd w:val="0"/>
      <w:jc w:val="right"/>
    </w:pPr>
    <w:rPr>
      <w:rFonts w:cs="Arial"/>
      <w:szCs w:val="18"/>
    </w:rPr>
  </w:style>
  <w:style w:type="paragraph" w:customStyle="1" w:styleId="CopyrightText">
    <w:name w:val="Copyright Text"/>
    <w:basedOn w:val="BodyText"/>
    <w:rsid w:val="00D4751B"/>
    <w:rPr>
      <w:sz w:val="18"/>
    </w:rPr>
  </w:style>
  <w:style w:type="paragraph" w:customStyle="1" w:styleId="BodySmallRight">
    <w:name w:val="Body Small Right"/>
    <w:basedOn w:val="BodyTextRight"/>
    <w:rsid w:val="00D4751B"/>
    <w:rPr>
      <w:sz w:val="18"/>
      <w:szCs w:val="18"/>
    </w:rPr>
  </w:style>
  <w:style w:type="paragraph" w:customStyle="1" w:styleId="MarginEdition">
    <w:name w:val="Margin Edition"/>
    <w:basedOn w:val="MarginNote"/>
    <w:rsid w:val="00D4751B"/>
    <w:pPr>
      <w:spacing w:before="0" w:after="0"/>
    </w:pPr>
    <w:rPr>
      <w:rFonts w:ascii="Times New Roman" w:hAnsi="Times New Roman"/>
      <w:color w:val="999999"/>
    </w:rPr>
  </w:style>
  <w:style w:type="paragraph" w:customStyle="1" w:styleId="Spacer">
    <w:name w:val="Spacer"/>
    <w:basedOn w:val="Normal"/>
    <w:rsid w:val="00D4751B"/>
    <w:rPr>
      <w:sz w:val="2"/>
      <w:szCs w:val="2"/>
    </w:rPr>
  </w:style>
  <w:style w:type="character" w:customStyle="1" w:styleId="Small">
    <w:name w:val="Small"/>
    <w:basedOn w:val="DefaultParagraphFont"/>
    <w:rsid w:val="00D4751B"/>
    <w:rPr>
      <w:sz w:val="16"/>
    </w:rPr>
  </w:style>
  <w:style w:type="paragraph" w:customStyle="1" w:styleId="WideTable">
    <w:name w:val="Wide Table"/>
    <w:basedOn w:val="Normal"/>
    <w:rsid w:val="00D4751B"/>
    <w:pPr>
      <w:ind w:left="-1418"/>
    </w:pPr>
    <w:rPr>
      <w:sz w:val="2"/>
      <w:szCs w:val="2"/>
    </w:rPr>
  </w:style>
  <w:style w:type="character" w:styleId="PageNumber">
    <w:name w:val="page number"/>
    <w:basedOn w:val="DefaultParagraphFont"/>
    <w:rsid w:val="00D4751B"/>
  </w:style>
  <w:style w:type="paragraph" w:styleId="Quote">
    <w:name w:val="Quote"/>
    <w:basedOn w:val="Heading1"/>
    <w:link w:val="QuoteChar"/>
    <w:qFormat/>
    <w:rsid w:val="00D4751B"/>
    <w:rPr>
      <w:b w:val="0"/>
      <w:sz w:val="72"/>
      <w:szCs w:val="72"/>
      <w:lang w:val="en-NZ"/>
    </w:rPr>
  </w:style>
  <w:style w:type="character" w:customStyle="1" w:styleId="QuoteChar">
    <w:name w:val="Quote Char"/>
    <w:basedOn w:val="DefaultParagraphFont"/>
    <w:link w:val="Quote"/>
    <w:rsid w:val="00D47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51B"/>
    <w:pPr>
      <w:pageBreakBefore/>
    </w:pPr>
  </w:style>
  <w:style w:type="paragraph" w:customStyle="1" w:styleId="Border">
    <w:name w:val="Border"/>
    <w:basedOn w:val="Normal"/>
    <w:qFormat/>
    <w:rsid w:val="00D47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51B"/>
    <w:rPr>
      <w:b/>
      <w:bCs/>
      <w:i/>
      <w:iCs/>
      <w:color w:val="auto"/>
    </w:rPr>
  </w:style>
  <w:style w:type="paragraph" w:styleId="IntenseQuote">
    <w:name w:val="Intense Quote"/>
    <w:basedOn w:val="Normal"/>
    <w:next w:val="Normal"/>
    <w:link w:val="IntenseQuoteChar"/>
    <w:uiPriority w:val="30"/>
    <w:qFormat/>
    <w:rsid w:val="00D47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51B"/>
    <w:rPr>
      <w:smallCaps/>
      <w:color w:val="auto"/>
      <w:u w:val="single"/>
    </w:rPr>
  </w:style>
  <w:style w:type="character" w:styleId="IntenseReference">
    <w:name w:val="Intense Reference"/>
    <w:basedOn w:val="DefaultParagraphFont"/>
    <w:uiPriority w:val="32"/>
    <w:qFormat/>
    <w:rsid w:val="00D4751B"/>
    <w:rPr>
      <w:b/>
      <w:bCs/>
      <w:smallCaps/>
      <w:color w:val="auto"/>
      <w:spacing w:val="5"/>
      <w:u w:val="single"/>
    </w:rPr>
  </w:style>
  <w:style w:type="paragraph" w:customStyle="1" w:styleId="2ColumnHeading">
    <w:name w:val="2Column Heading"/>
    <w:basedOn w:val="BodyText"/>
    <w:qFormat/>
    <w:rsid w:val="00D4751B"/>
    <w:pPr>
      <w:spacing w:after="60"/>
      <w:ind w:left="-2268"/>
    </w:pPr>
    <w:rPr>
      <w:b/>
    </w:rPr>
  </w:style>
  <w:style w:type="paragraph" w:customStyle="1" w:styleId="Heading1TOC">
    <w:name w:val="Heading1 TOC"/>
    <w:basedOn w:val="Normal"/>
    <w:qFormat/>
    <w:rsid w:val="00D4751B"/>
    <w:pPr>
      <w:spacing w:before="240" w:after="120"/>
    </w:pPr>
    <w:rPr>
      <w:rFonts w:ascii="Times New Roman" w:hAnsi="Times New Roman"/>
      <w:b/>
      <w:sz w:val="32"/>
    </w:rPr>
  </w:style>
  <w:style w:type="paragraph" w:customStyle="1" w:styleId="Heading2TOC">
    <w:name w:val="Heading2 TOC"/>
    <w:basedOn w:val="Normal"/>
    <w:qFormat/>
    <w:rsid w:val="00D4751B"/>
    <w:pPr>
      <w:spacing w:before="240" w:after="60"/>
    </w:pPr>
    <w:rPr>
      <w:rFonts w:ascii="Times New Roman" w:hAnsi="Times New Roman"/>
      <w:b/>
      <w:sz w:val="28"/>
    </w:rPr>
  </w:style>
  <w:style w:type="character" w:customStyle="1" w:styleId="Underline">
    <w:name w:val="Underline"/>
    <w:basedOn w:val="DefaultParagraphFont"/>
    <w:qFormat/>
    <w:rsid w:val="00D4751B"/>
    <w:rPr>
      <w:u w:val="single"/>
    </w:rPr>
  </w:style>
  <w:style w:type="paragraph" w:styleId="BalloonText">
    <w:name w:val="Balloon Text"/>
    <w:basedOn w:val="Normal"/>
    <w:link w:val="BalloonTextChar"/>
    <w:rsid w:val="00D4751B"/>
    <w:rPr>
      <w:rFonts w:ascii="Tahoma" w:hAnsi="Tahoma" w:cs="Tahoma"/>
      <w:sz w:val="16"/>
      <w:szCs w:val="16"/>
    </w:rPr>
  </w:style>
  <w:style w:type="character" w:customStyle="1" w:styleId="BalloonTextChar">
    <w:name w:val="Balloon Text Char"/>
    <w:basedOn w:val="DefaultParagraphFont"/>
    <w:link w:val="BalloonText"/>
    <w:rsid w:val="00D47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51B"/>
    <w:rPr>
      <w:b/>
      <w:color w:val="660033"/>
      <w:spacing w:val="0"/>
    </w:rPr>
  </w:style>
  <w:style w:type="paragraph" w:customStyle="1" w:styleId="Nameditemlist">
    <w:name w:val="Named item list"/>
    <w:basedOn w:val="BodyText"/>
    <w:qFormat/>
    <w:rsid w:val="00D4751B"/>
    <w:pPr>
      <w:tabs>
        <w:tab w:val="left" w:pos="2835"/>
      </w:tabs>
      <w:ind w:left="2835" w:hanging="2835"/>
    </w:pPr>
  </w:style>
  <w:style w:type="paragraph" w:customStyle="1" w:styleId="BodyTextnopadding">
    <w:name w:val="Body Text no padding"/>
    <w:basedOn w:val="BodyText"/>
    <w:qFormat/>
    <w:rsid w:val="00D4751B"/>
    <w:pPr>
      <w:spacing w:before="0" w:after="0"/>
    </w:pPr>
  </w:style>
  <w:style w:type="paragraph" w:customStyle="1" w:styleId="BodyTextBold">
    <w:name w:val="Body Text Bold"/>
    <w:basedOn w:val="BodyText"/>
    <w:qFormat/>
    <w:rsid w:val="00D4751B"/>
    <w:rPr>
      <w:b/>
    </w:rPr>
  </w:style>
  <w:style w:type="character" w:styleId="Hyperlink">
    <w:name w:val="Hyperlink"/>
    <w:basedOn w:val="DefaultParagraphFont"/>
    <w:uiPriority w:val="99"/>
    <w:unhideWhenUsed/>
    <w:rsid w:val="004A1E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5689</Characters>
  <Application>Microsoft Office Word</Application>
  <DocSecurity>0</DocSecurity>
  <Lines>270</Lines>
  <Paragraphs>146</Paragraphs>
  <ScaleCrop>false</ScaleCrop>
  <Company>Author-it Software Corporation Ltd.</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CPPDSM4020 Present at tribunals</dc:title>
  <dc:subject>Approved</dc:subject>
  <dc:creator>Artibus Innovation</dc:creator>
  <cp:keywords>Release: 1</cp:keywords>
  <dc:description>Review Date: 12 April 2008</dc:description>
  <cp:lastModifiedBy>HSD_TPCMSd.prod</cp:lastModifiedBy>
  <cp:revision>3</cp:revision>
  <dcterms:created xsi:type="dcterms:W3CDTF">2021-05-19T13:12:00Z</dcterms:created>
  <dcterms:modified xsi:type="dcterms:W3CDTF">2021-05-19T13:12:00Z</dcterms:modified>
</cp:coreProperties>
</file>