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CFE" w:rsidP="00A67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CPPDSM4020 Present at tribunals</w:t>
      </w:r>
      <w:r>
        <w:fldChar w:fldCharType="end"/>
      </w:r>
    </w:p>
    <w:p w:rsidR="00A67CFE" w:rsidP="00A67CFE">
      <w:pPr>
        <w:pStyle w:val="Version"/>
        <w:sectPr w:rsidSect="00B12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C3B" w:rsidP="00B12C3B">
      <w:pPr>
        <w:pStyle w:val="SuperHeading"/>
      </w:pPr>
      <w:r w:rsidRPr="00B12C3B">
        <w:t>Assessment Requirements for CPPDSM4020 Present at tribunals</w:t>
      </w:r>
    </w:p>
    <w:p w:rsidR="00000000" w:rsidRPr="00B12C3B" w:rsidP="00B12C3B">
      <w:pPr>
        <w:pStyle w:val="Heading1"/>
      </w:pPr>
      <w:bookmarkStart w:id="1" w:name="O_864402"/>
      <w:bookmarkEnd w:id="1"/>
      <w:r w:rsidRPr="00B12C3B">
        <w:t>Modification History</w:t>
      </w:r>
    </w:p>
    <w:p w:rsidR="00000000" w:rsidRPr="00B12C3B" w:rsidP="00A67CFE">
      <w:pPr>
        <w:pStyle w:val="BodyText"/>
      </w:pPr>
      <w:r w:rsidRPr="00B12C3B">
        <w:t>Release 1.</w:t>
      </w:r>
    </w:p>
    <w:p w:rsidR="00000000" w:rsidRPr="00B12C3B" w:rsidP="00A67CFE">
      <w:pPr>
        <w:pStyle w:val="BodyText"/>
      </w:pPr>
      <w:r w:rsidRPr="00B12C3B">
        <w:t>Replaces superseded equivalent CPPDSM4020A Present at tribunals.</w:t>
      </w:r>
    </w:p>
    <w:p w:rsidR="00000000" w:rsidRPr="00B12C3B" w:rsidP="00A67CFE">
      <w:pPr>
        <w:pStyle w:val="BodyText"/>
      </w:pPr>
      <w:r w:rsidRPr="00B12C3B">
        <w:t>This version first released with CPP Property Services Training Package Version 5.</w:t>
      </w:r>
    </w:p>
    <w:p w:rsidR="00000000" w:rsidRPr="00B12C3B" w:rsidP="00B12C3B">
      <w:pPr>
        <w:pStyle w:val="Heading1"/>
      </w:pPr>
      <w:bookmarkStart w:id="2" w:name="O_864405"/>
      <w:bookmarkEnd w:id="2"/>
      <w:r w:rsidRPr="00B12C3B">
        <w:t>Performance Evidence</w:t>
      </w:r>
    </w:p>
    <w:p w:rsidR="00000000" w:rsidRPr="00B12C3B" w:rsidP="00A67CFE">
      <w:pPr>
        <w:pStyle w:val="BodyText"/>
      </w:pPr>
      <w:r w:rsidRPr="00B12C3B">
        <w:t>A person demonstrati</w:t>
      </w:r>
      <w:r w:rsidRPr="00B12C3B">
        <w:t>ng competency in this unit must satisfy all of the elements, performance criteria, foundation skills and range of conditions of this unit.</w:t>
      </w:r>
    </w:p>
    <w:p w:rsidR="00000000" w:rsidRPr="00B12C3B" w:rsidP="00A67CFE">
      <w:pPr>
        <w:pStyle w:val="BodyText"/>
      </w:pPr>
      <w:r w:rsidRPr="00B12C3B">
        <w:t>The person must also appear effectively before a tribunal on three separate occasions as follows:</w:t>
      </w:r>
    </w:p>
    <w:p w:rsidR="00000000" w:rsidRPr="00B12C3B" w:rsidP="00B12C3B">
      <w:pPr>
        <w:pStyle w:val="ListBullet"/>
      </w:pPr>
      <w:r w:rsidRPr="00B12C3B">
        <w:t>prepare and prese</w:t>
      </w:r>
      <w:r w:rsidRPr="00B12C3B">
        <w:t>nt a case before a tribunal on a property-related matter</w:t>
      </w:r>
    </w:p>
    <w:p w:rsidR="00000000" w:rsidRPr="00B12C3B" w:rsidP="00B12C3B">
      <w:pPr>
        <w:pStyle w:val="ListBullet"/>
      </w:pPr>
      <w:r w:rsidRPr="00B12C3B">
        <w:t>participate in a conciliation process to resolve a property-related grievance or dispute</w:t>
      </w:r>
    </w:p>
    <w:p w:rsidR="00000000" w:rsidRPr="00B12C3B" w:rsidP="00B12C3B">
      <w:pPr>
        <w:pStyle w:val="ListBullet"/>
      </w:pPr>
      <w:r w:rsidRPr="00B12C3B">
        <w:t>act as a witness at a tribunal on a property-related matter</w:t>
      </w:r>
      <w:r w:rsidRPr="00B12C3B">
        <w:rPr>
          <w:rStyle w:val="SpecialBold"/>
        </w:rPr>
        <w:t>.</w:t>
      </w:r>
    </w:p>
    <w:p w:rsidR="00000000" w:rsidRPr="00B12C3B" w:rsidP="00B12C3B">
      <w:pPr>
        <w:pStyle w:val="BodyText"/>
      </w:pPr>
    </w:p>
    <w:p w:rsidR="00000000" w:rsidRPr="00B12C3B" w:rsidP="00A67CFE">
      <w:pPr>
        <w:pStyle w:val="BodyText"/>
      </w:pPr>
      <w:r w:rsidRPr="00B12C3B">
        <w:t>In doing the above, the person must:</w:t>
      </w:r>
    </w:p>
    <w:p w:rsidR="00000000" w:rsidRPr="00B12C3B" w:rsidP="00B12C3B">
      <w:pPr>
        <w:pStyle w:val="ListBullet"/>
      </w:pPr>
      <w:r w:rsidRPr="00B12C3B">
        <w:t>apply know</w:t>
      </w:r>
      <w:r w:rsidRPr="00B12C3B">
        <w:t>ledge of the role and jurisdiction of tribunals that hear matters relating to property operations</w:t>
      </w:r>
    </w:p>
    <w:p w:rsidR="00000000" w:rsidRPr="00B12C3B" w:rsidP="00B12C3B">
      <w:pPr>
        <w:pStyle w:val="ListBullet"/>
      </w:pPr>
      <w:r w:rsidRPr="00B12C3B">
        <w:t>prepare and lodge applications for a tribunal</w:t>
      </w:r>
    </w:p>
    <w:p w:rsidR="00000000" w:rsidRPr="00B12C3B" w:rsidP="00B12C3B">
      <w:pPr>
        <w:pStyle w:val="ListBullet"/>
      </w:pPr>
      <w:r w:rsidRPr="00B12C3B">
        <w:t>complete and store documentation relating to the above matters according to agency or organisation requirements.</w:t>
      </w:r>
    </w:p>
    <w:p w:rsidR="00000000" w:rsidRPr="00B12C3B" w:rsidP="00B12C3B">
      <w:pPr>
        <w:pStyle w:val="AllowPageBreak"/>
      </w:pPr>
    </w:p>
    <w:p w:rsidR="00000000" w:rsidRPr="00B12C3B" w:rsidP="00B12C3B">
      <w:pPr>
        <w:pStyle w:val="Heading1"/>
      </w:pPr>
      <w:bookmarkStart w:id="3" w:name="O_864404"/>
      <w:bookmarkEnd w:id="3"/>
      <w:r w:rsidRPr="00B12C3B">
        <w:t>Knowledge Evidence</w:t>
      </w:r>
    </w:p>
    <w:p w:rsidR="00000000" w:rsidRPr="00B12C3B" w:rsidP="00A67CFE">
      <w:pPr>
        <w:pStyle w:val="BodyText"/>
      </w:pPr>
      <w:r w:rsidRPr="00B12C3B">
        <w:t>A person demonstrating competency in this unit must demonstrate knowledge of:</w:t>
      </w:r>
    </w:p>
    <w:p w:rsidR="00000000" w:rsidRPr="00B12C3B" w:rsidP="00B12C3B">
      <w:pPr>
        <w:pStyle w:val="ListBullet"/>
      </w:pPr>
      <w:r w:rsidRPr="00B12C3B">
        <w:t>protocols to follow when acting as a witness</w:t>
      </w:r>
    </w:p>
    <w:p w:rsidR="00000000" w:rsidRPr="00B12C3B" w:rsidP="00B12C3B">
      <w:pPr>
        <w:pStyle w:val="ListBullet"/>
      </w:pPr>
      <w:r w:rsidRPr="00B12C3B">
        <w:t>purpose and role of conciliation in the property industry</w:t>
      </w:r>
    </w:p>
    <w:p w:rsidR="00000000" w:rsidRPr="00B12C3B" w:rsidP="00B12C3B">
      <w:pPr>
        <w:pStyle w:val="ListBullet"/>
      </w:pPr>
      <w:r w:rsidRPr="00B12C3B">
        <w:t>key requirements of federal, and state or territory legislation and local government regulations relating to:</w:t>
      </w:r>
    </w:p>
    <w:p w:rsidR="00000000" w:rsidRPr="00B12C3B" w:rsidP="00B12C3B">
      <w:pPr>
        <w:pStyle w:val="ListBullet2"/>
      </w:pPr>
      <w:r w:rsidRPr="00B12C3B">
        <w:t>anti-discrimination and equal employment opportunity</w:t>
      </w:r>
    </w:p>
    <w:p w:rsidR="00000000" w:rsidRPr="00B12C3B" w:rsidP="00B12C3B">
      <w:pPr>
        <w:pStyle w:val="ListBullet2"/>
      </w:pPr>
      <w:r w:rsidRPr="00B12C3B">
        <w:t>consumer protection and trade practices</w:t>
      </w:r>
    </w:p>
    <w:p w:rsidR="00000000" w:rsidRPr="00B12C3B" w:rsidP="00B12C3B">
      <w:pPr>
        <w:pStyle w:val="ListBullet2"/>
      </w:pPr>
      <w:r w:rsidRPr="00B12C3B">
        <w:t>employment and industrial relations</w:t>
      </w:r>
    </w:p>
    <w:p w:rsidR="00000000" w:rsidRPr="00B12C3B" w:rsidP="00B12C3B">
      <w:pPr>
        <w:pStyle w:val="ListBullet2"/>
      </w:pPr>
      <w:r w:rsidRPr="00B12C3B">
        <w:t>environmental is</w:t>
      </w:r>
      <w:r w:rsidRPr="00B12C3B">
        <w:t>sues</w:t>
      </w:r>
    </w:p>
    <w:p w:rsidR="00000000" w:rsidRPr="00B12C3B" w:rsidP="00B12C3B">
      <w:pPr>
        <w:pStyle w:val="ListBullet2"/>
      </w:pPr>
      <w:r w:rsidRPr="00B12C3B">
        <w:t>financial services</w:t>
      </w:r>
    </w:p>
    <w:p w:rsidR="00000000" w:rsidRPr="00B12C3B" w:rsidP="00B12C3B">
      <w:pPr>
        <w:pStyle w:val="ListBullet2"/>
      </w:pPr>
      <w:r w:rsidRPr="00B12C3B">
        <w:t>franchises and business structure</w:t>
      </w:r>
    </w:p>
    <w:p w:rsidR="00000000" w:rsidRPr="00B12C3B" w:rsidP="00B12C3B">
      <w:pPr>
        <w:pStyle w:val="ListBullet2"/>
      </w:pPr>
      <w:r w:rsidRPr="00B12C3B">
        <w:t>leases</w:t>
      </w:r>
    </w:p>
    <w:p w:rsidR="00000000" w:rsidRPr="00B12C3B" w:rsidP="00B12C3B">
      <w:pPr>
        <w:pStyle w:val="ListBullet2"/>
      </w:pPr>
      <w:r w:rsidRPr="00B12C3B">
        <w:t>privacy</w:t>
      </w:r>
    </w:p>
    <w:p w:rsidR="00000000" w:rsidRPr="00B12C3B" w:rsidP="00B12C3B">
      <w:pPr>
        <w:pStyle w:val="ListBullet2"/>
      </w:pPr>
      <w:r w:rsidRPr="00B12C3B">
        <w:t>property sales and management</w:t>
      </w:r>
    </w:p>
    <w:p w:rsidR="00000000" w:rsidRPr="00B12C3B" w:rsidP="00B12C3B">
      <w:pPr>
        <w:pStyle w:val="ListBullet2"/>
      </w:pPr>
      <w:r w:rsidRPr="00B12C3B">
        <w:t>work health and safety (WHS)</w:t>
      </w:r>
    </w:p>
    <w:p w:rsidR="00000000" w:rsidRPr="00B12C3B" w:rsidP="00B12C3B">
      <w:pPr>
        <w:pStyle w:val="ListBullet"/>
      </w:pPr>
      <w:r w:rsidRPr="00B12C3B">
        <w:t>role and jurisdiction of tribunal that hear matters relating to property operations</w:t>
      </w:r>
    </w:p>
    <w:p w:rsidR="00000000" w:rsidRPr="00B12C3B" w:rsidP="00B12C3B">
      <w:pPr>
        <w:pStyle w:val="ListBullet"/>
      </w:pPr>
      <w:r w:rsidRPr="00B12C3B">
        <w:t>key features of the rules of evidence</w:t>
      </w:r>
    </w:p>
    <w:p w:rsidR="00000000" w:rsidRPr="00B12C3B" w:rsidP="00B12C3B">
      <w:pPr>
        <w:pStyle w:val="ListBullet"/>
      </w:pPr>
      <w:r w:rsidRPr="00B12C3B">
        <w:t>powers and role of tribunals in property-related hearings</w:t>
      </w:r>
    </w:p>
    <w:p w:rsidR="00000000" w:rsidRPr="00B12C3B" w:rsidP="00B12C3B">
      <w:pPr>
        <w:pStyle w:val="ListBullet"/>
      </w:pPr>
      <w:r w:rsidRPr="00B12C3B">
        <w:t>tribunal procedures, including:</w:t>
      </w:r>
    </w:p>
    <w:p w:rsidR="00000000" w:rsidRPr="00B12C3B" w:rsidP="00B12C3B">
      <w:pPr>
        <w:pStyle w:val="ListBullet2"/>
      </w:pPr>
      <w:r w:rsidRPr="00B12C3B">
        <w:t>documentation required for applications to tribunal</w:t>
      </w:r>
    </w:p>
    <w:p w:rsidR="00000000" w:rsidRPr="00B12C3B" w:rsidP="00B12C3B">
      <w:pPr>
        <w:pStyle w:val="ListBullet2"/>
      </w:pPr>
      <w:r w:rsidRPr="00B12C3B">
        <w:t>procedure to be followed for presenting a case to a tribunal</w:t>
      </w:r>
    </w:p>
    <w:p w:rsidR="00000000" w:rsidRPr="00B12C3B" w:rsidP="00B12C3B">
      <w:pPr>
        <w:pStyle w:val="ListBullet2"/>
      </w:pPr>
      <w:r w:rsidRPr="00B12C3B">
        <w:t>procedure to be followed where a matter has been set</w:t>
      </w:r>
      <w:r w:rsidRPr="00B12C3B">
        <w:t>tled prior to hearing</w:t>
      </w:r>
    </w:p>
    <w:p w:rsidR="00000000" w:rsidRPr="00B12C3B" w:rsidP="00B12C3B">
      <w:pPr>
        <w:pStyle w:val="ListBullet2"/>
      </w:pPr>
      <w:r w:rsidRPr="00B12C3B">
        <w:t>process for making an application to a tribunal</w:t>
      </w:r>
    </w:p>
    <w:p w:rsidR="00000000" w:rsidRPr="00B12C3B" w:rsidP="00B12C3B">
      <w:pPr>
        <w:pStyle w:val="ListBullet2"/>
      </w:pPr>
      <w:r w:rsidRPr="00B12C3B">
        <w:t>role of witnesses</w:t>
      </w:r>
    </w:p>
    <w:p w:rsidR="00000000" w:rsidRPr="00B12C3B" w:rsidP="00B12C3B">
      <w:pPr>
        <w:pStyle w:val="ListBullet2"/>
      </w:pPr>
      <w:r w:rsidRPr="00B12C3B">
        <w:t>tribunal etiquette.</w:t>
      </w:r>
    </w:p>
    <w:p w:rsidR="00000000" w:rsidRPr="00B12C3B" w:rsidP="00B12C3B">
      <w:pPr>
        <w:pStyle w:val="AllowPageBreak"/>
      </w:pPr>
    </w:p>
    <w:p w:rsidR="00000000" w:rsidRPr="00B12C3B" w:rsidP="00B12C3B">
      <w:pPr>
        <w:pStyle w:val="Heading1"/>
      </w:pPr>
      <w:bookmarkStart w:id="4" w:name="O_864403"/>
      <w:bookmarkEnd w:id="4"/>
      <w:r w:rsidRPr="00B12C3B">
        <w:t>Assessment Conditions</w:t>
      </w:r>
    </w:p>
    <w:p w:rsidR="00000000" w:rsidRPr="00B12C3B" w:rsidP="00A67CFE">
      <w:pPr>
        <w:pStyle w:val="BodyText"/>
      </w:pPr>
      <w:r w:rsidRPr="00B12C3B">
        <w:t>The following must be present and available to learners during assessment activities:</w:t>
      </w:r>
    </w:p>
    <w:p w:rsidR="00000000" w:rsidRPr="00B12C3B" w:rsidP="00B12C3B">
      <w:pPr>
        <w:pStyle w:val="ListBullet"/>
      </w:pPr>
      <w:r w:rsidRPr="00B12C3B">
        <w:t>equipment:</w:t>
      </w:r>
    </w:p>
    <w:p w:rsidR="00000000" w:rsidRPr="00B12C3B" w:rsidP="00B12C3B">
      <w:pPr>
        <w:pStyle w:val="ListBullet2"/>
      </w:pPr>
      <w:r w:rsidRPr="00B12C3B">
        <w:t>computer system with internet, email and printing facilities</w:t>
      </w:r>
    </w:p>
    <w:p w:rsidR="00000000" w:rsidRPr="00B12C3B" w:rsidP="00B12C3B">
      <w:pPr>
        <w:pStyle w:val="ListBullet2"/>
      </w:pPr>
      <w:r w:rsidRPr="00B12C3B">
        <w:t>tribunal environment</w:t>
      </w:r>
    </w:p>
    <w:p w:rsidR="00000000" w:rsidRPr="00B12C3B" w:rsidP="00B12C3B">
      <w:pPr>
        <w:pStyle w:val="ListBullet"/>
      </w:pPr>
      <w:r w:rsidRPr="00B12C3B">
        <w:t>specifications:</w:t>
      </w:r>
    </w:p>
    <w:p w:rsidR="00000000" w:rsidRPr="00B12C3B" w:rsidP="00B12C3B">
      <w:pPr>
        <w:pStyle w:val="ListBullet2"/>
      </w:pPr>
      <w:r w:rsidRPr="00B12C3B">
        <w:t>checklist for identifying tasks to be completed in preparing for a hearing</w:t>
      </w:r>
    </w:p>
    <w:p w:rsidR="00000000" w:rsidRPr="00B12C3B" w:rsidP="00B12C3B">
      <w:pPr>
        <w:pStyle w:val="ListBullet2"/>
      </w:pPr>
      <w:r w:rsidRPr="00B12C3B">
        <w:t>guides for acting as a witness, tribunal processes, and presenting a case at a tr</w:t>
      </w:r>
      <w:r w:rsidRPr="00B12C3B">
        <w:t>ibunal</w:t>
      </w:r>
    </w:p>
    <w:p w:rsidR="00000000" w:rsidRPr="00B12C3B" w:rsidP="00B12C3B">
      <w:pPr>
        <w:pStyle w:val="ListBullet2"/>
      </w:pPr>
      <w:r w:rsidRPr="00B12C3B">
        <w:t>federal, and state or territory legislation and local government regulations relating to property operations</w:t>
      </w:r>
    </w:p>
    <w:p w:rsidR="00000000" w:rsidRPr="00B12C3B" w:rsidP="00B12C3B">
      <w:pPr>
        <w:pStyle w:val="ListBullet"/>
      </w:pPr>
      <w:r w:rsidRPr="00B12C3B">
        <w:t>relationship with team members and supervisor:</w:t>
      </w:r>
    </w:p>
    <w:p w:rsidR="00000000" w:rsidRPr="00B12C3B" w:rsidP="00B12C3B">
      <w:pPr>
        <w:pStyle w:val="ListBullet2"/>
      </w:pPr>
      <w:r w:rsidRPr="00B12C3B">
        <w:t>member of a work team in a property industry context.</w:t>
      </w:r>
    </w:p>
    <w:p w:rsidR="00000000" w:rsidRPr="00B12C3B" w:rsidP="00B12C3B">
      <w:pPr>
        <w:pStyle w:val="BodyText"/>
      </w:pPr>
    </w:p>
    <w:p w:rsidR="00000000" w:rsidRPr="00B12C3B" w:rsidP="00A67CFE">
      <w:pPr>
        <w:pStyle w:val="Heading3"/>
      </w:pPr>
      <w:r w:rsidRPr="00B12C3B">
        <w:rPr>
          <w:rStyle w:val="SpecialBold"/>
        </w:rPr>
        <w:t>Assessor requirements</w:t>
      </w:r>
    </w:p>
    <w:p w:rsidR="00000000" w:rsidRPr="00B12C3B" w:rsidP="00A67CFE">
      <w:pPr>
        <w:pStyle w:val="BodyText"/>
      </w:pPr>
      <w:r w:rsidRPr="00B12C3B">
        <w:t xml:space="preserve">As a minimum, </w:t>
      </w:r>
      <w:r w:rsidRPr="00B12C3B">
        <w:t xml:space="preserve">assessors must satisfy the assessor requirements in the </w:t>
      </w:r>
      <w:r w:rsidRPr="00B12C3B">
        <w:rPr>
          <w:rStyle w:val="Emphasis"/>
        </w:rPr>
        <w:t>Standards for Registered Training Organisations</w:t>
      </w:r>
      <w:r w:rsidRPr="00B12C3B">
        <w:t xml:space="preserve"> (RTOs) current at the time of assessment.</w:t>
      </w:r>
    </w:p>
    <w:p w:rsidR="00000000" w:rsidRPr="00B12C3B" w:rsidP="00B12C3B">
      <w:pPr>
        <w:pStyle w:val="Heading1"/>
      </w:pPr>
      <w:bookmarkStart w:id="5" w:name="O_864401"/>
      <w:bookmarkEnd w:id="5"/>
      <w:r w:rsidRPr="00B12C3B">
        <w:t>Links</w:t>
      </w:r>
    </w:p>
    <w:p w:rsidR="00000000" w:rsidRPr="00B12C3B" w:rsidP="00A67CFE">
      <w:pPr>
        <w:pStyle w:val="BodyText"/>
      </w:pPr>
      <w:r w:rsidRPr="00B12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C70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12C3B" w:rsidP="00B12C3B"/>
    <w:sectPr w:rsidSect="00B12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3B" w:rsidRPr="00A67CFE" w:rsidP="00A67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FE" w:rsidP="00B12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7CFE" w:rsidP="00B12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67CFE" w:rsidP="00B12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C3B" w:rsidRPr="00A67CFE" w:rsidP="00A67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FE" w:rsidRPr="002D2AF8" w:rsidP="00B12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CPPDSM4020 Present at tribunals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A67CFE" w:rsidP="00B12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E6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E8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E7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C3B"/>
  </w:style>
  <w:style w:type="character" w:customStyle="1" w:styleId="Heading1Char">
    <w:name w:val="Heading 1 Char"/>
    <w:basedOn w:val="DefaultParagraphFont"/>
    <w:link w:val="Heading1"/>
    <w:rsid w:val="00B12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C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C3B"/>
    <w:rPr>
      <w:b/>
      <w:spacing w:val="0"/>
    </w:rPr>
  </w:style>
  <w:style w:type="paragraph" w:styleId="ListBullet2">
    <w:name w:val="List Bullet 2"/>
    <w:basedOn w:val="List2"/>
    <w:rsid w:val="00B12C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2C3B"/>
    <w:rPr>
      <w:i/>
    </w:rPr>
  </w:style>
  <w:style w:type="paragraph" w:customStyle="1" w:styleId="SuperHeading">
    <w:name w:val="SuperHeading"/>
    <w:basedOn w:val="Normal"/>
    <w:rsid w:val="00B12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C3B"/>
  </w:style>
  <w:style w:type="paragraph" w:styleId="TableofFigures">
    <w:name w:val="table of figures"/>
    <w:basedOn w:val="Normal"/>
    <w:next w:val="Normal"/>
    <w:semiHidden/>
    <w:rsid w:val="00B12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C3B"/>
    <w:rPr>
      <w:rFonts w:ascii="Wingdings" w:hAnsi="Wingdings"/>
    </w:rPr>
  </w:style>
  <w:style w:type="paragraph" w:customStyle="1" w:styleId="TableHeading">
    <w:name w:val="Table Heading"/>
    <w:basedOn w:val="HeadingBase"/>
    <w:rsid w:val="00B12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C3B"/>
    <w:rPr>
      <w:color w:val="0033CC"/>
      <w:u w:val="none"/>
    </w:rPr>
  </w:style>
  <w:style w:type="paragraph" w:customStyle="1" w:styleId="BodyTextRight">
    <w:name w:val="Body Text Right"/>
    <w:basedOn w:val="BodyText"/>
    <w:rsid w:val="00B12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C3B"/>
    <w:rPr>
      <w:sz w:val="32"/>
    </w:rPr>
  </w:style>
  <w:style w:type="paragraph" w:customStyle="1" w:styleId="HeadingProcedure">
    <w:name w:val="Heading Procedure"/>
    <w:basedOn w:val="HeadingBase"/>
    <w:next w:val="Normal"/>
    <w:rsid w:val="00B12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C3B"/>
    <w:pPr>
      <w:spacing w:before="60" w:after="60"/>
    </w:pPr>
  </w:style>
  <w:style w:type="paragraph" w:styleId="ListContinue">
    <w:name w:val="List Continue"/>
    <w:basedOn w:val="List"/>
    <w:rsid w:val="00B12C3B"/>
    <w:pPr>
      <w:ind w:firstLine="0"/>
    </w:pPr>
  </w:style>
  <w:style w:type="paragraph" w:customStyle="1" w:styleId="ListNote">
    <w:name w:val="List Note"/>
    <w:basedOn w:val="List"/>
    <w:rsid w:val="00B12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C3B"/>
    <w:rPr>
      <w:rFonts w:ascii="Courier New" w:hAnsi="Courier New"/>
    </w:rPr>
  </w:style>
  <w:style w:type="paragraph" w:customStyle="1" w:styleId="NoteBullet">
    <w:name w:val="Note Bullet"/>
    <w:basedOn w:val="Note"/>
    <w:rsid w:val="00B12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C3B"/>
    <w:rPr>
      <w:b/>
      <w:smallCaps/>
    </w:rPr>
  </w:style>
  <w:style w:type="paragraph" w:customStyle="1" w:styleId="TableListNumber">
    <w:name w:val="Table List Number"/>
    <w:basedOn w:val="ListNumber"/>
    <w:rsid w:val="00B12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C3B"/>
    <w:pPr>
      <w:numPr>
        <w:numId w:val="9"/>
      </w:numPr>
    </w:pPr>
  </w:style>
  <w:style w:type="paragraph" w:customStyle="1" w:styleId="ListAlpha2">
    <w:name w:val="List Alpha 2"/>
    <w:basedOn w:val="List2"/>
    <w:rsid w:val="00B12C3B"/>
    <w:pPr>
      <w:numPr>
        <w:numId w:val="8"/>
      </w:numPr>
    </w:pPr>
  </w:style>
  <w:style w:type="paragraph" w:styleId="List2">
    <w:name w:val="List 2"/>
    <w:basedOn w:val="BodyText"/>
    <w:rsid w:val="00B12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C3B"/>
    <w:pPr>
      <w:numPr>
        <w:numId w:val="4"/>
      </w:numPr>
    </w:pPr>
  </w:style>
  <w:style w:type="paragraph" w:styleId="ListContinue2">
    <w:name w:val="List Continue 2"/>
    <w:basedOn w:val="List2"/>
    <w:rsid w:val="00B12C3B"/>
    <w:pPr>
      <w:ind w:firstLine="0"/>
    </w:pPr>
  </w:style>
  <w:style w:type="paragraph" w:styleId="ListContinue3">
    <w:name w:val="List Continue 3"/>
    <w:basedOn w:val="List3"/>
    <w:rsid w:val="00B12C3B"/>
    <w:pPr>
      <w:ind w:left="1021" w:firstLine="0"/>
    </w:pPr>
  </w:style>
  <w:style w:type="paragraph" w:styleId="ListContinue4">
    <w:name w:val="List Continue 4"/>
    <w:basedOn w:val="List4"/>
    <w:rsid w:val="00B12C3B"/>
    <w:pPr>
      <w:ind w:firstLine="0"/>
    </w:pPr>
  </w:style>
  <w:style w:type="paragraph" w:styleId="ListContinue5">
    <w:name w:val="List Continue 5"/>
    <w:basedOn w:val="List5"/>
    <w:rsid w:val="00B12C3B"/>
    <w:pPr>
      <w:ind w:firstLine="0"/>
    </w:pPr>
  </w:style>
  <w:style w:type="paragraph" w:styleId="ListNumber3">
    <w:name w:val="List Number 3"/>
    <w:basedOn w:val="List3"/>
    <w:rsid w:val="00B12C3B"/>
    <w:pPr>
      <w:numPr>
        <w:numId w:val="5"/>
      </w:numPr>
    </w:pPr>
  </w:style>
  <w:style w:type="paragraph" w:styleId="ListNumber4">
    <w:name w:val="List Number 4"/>
    <w:basedOn w:val="List4"/>
    <w:rsid w:val="00B12C3B"/>
    <w:pPr>
      <w:numPr>
        <w:numId w:val="6"/>
      </w:numPr>
    </w:pPr>
  </w:style>
  <w:style w:type="paragraph" w:styleId="ListNumber5">
    <w:name w:val="List Number 5"/>
    <w:basedOn w:val="List5"/>
    <w:rsid w:val="00B12C3B"/>
    <w:pPr>
      <w:numPr>
        <w:numId w:val="7"/>
      </w:numPr>
    </w:pPr>
  </w:style>
  <w:style w:type="paragraph" w:styleId="BlockText">
    <w:name w:val="Block Text"/>
    <w:basedOn w:val="Normal"/>
    <w:rsid w:val="00B12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C3B"/>
    <w:rPr>
      <w:sz w:val="16"/>
      <w:vertAlign w:val="superscript"/>
    </w:rPr>
  </w:style>
  <w:style w:type="character" w:customStyle="1" w:styleId="Symbols">
    <w:name w:val="Symbols"/>
    <w:basedOn w:val="DefaultParagraphFont"/>
    <w:rsid w:val="00B12C3B"/>
    <w:rPr>
      <w:rFonts w:ascii="Symbol" w:hAnsi="Symbol"/>
    </w:rPr>
  </w:style>
  <w:style w:type="character" w:customStyle="1" w:styleId="MenuOptions">
    <w:name w:val="Menu Options"/>
    <w:basedOn w:val="DefaultParagraphFont"/>
    <w:rsid w:val="00B12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C3B"/>
    <w:rPr>
      <w:b/>
    </w:rPr>
  </w:style>
  <w:style w:type="character" w:customStyle="1" w:styleId="Underlined">
    <w:name w:val="Underlined"/>
    <w:basedOn w:val="DefaultParagraphFont"/>
    <w:rsid w:val="00B12C3B"/>
    <w:rPr>
      <w:u w:val="single"/>
    </w:rPr>
  </w:style>
  <w:style w:type="paragraph" w:customStyle="1" w:styleId="TableBodyTextRight">
    <w:name w:val="Table Body Text Right"/>
    <w:basedOn w:val="TableBodyText"/>
    <w:rsid w:val="00B12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C3B"/>
    <w:rPr>
      <w:sz w:val="18"/>
    </w:rPr>
  </w:style>
  <w:style w:type="paragraph" w:customStyle="1" w:styleId="BodySmallRight">
    <w:name w:val="Body Small Right"/>
    <w:basedOn w:val="BodyTextRight"/>
    <w:rsid w:val="00B12C3B"/>
    <w:rPr>
      <w:sz w:val="18"/>
      <w:szCs w:val="18"/>
    </w:rPr>
  </w:style>
  <w:style w:type="paragraph" w:customStyle="1" w:styleId="MarginEdition">
    <w:name w:val="Margin Edition"/>
    <w:basedOn w:val="MarginNote"/>
    <w:rsid w:val="00B12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C3B"/>
    <w:rPr>
      <w:sz w:val="2"/>
      <w:szCs w:val="2"/>
    </w:rPr>
  </w:style>
  <w:style w:type="character" w:customStyle="1" w:styleId="Small">
    <w:name w:val="Small"/>
    <w:basedOn w:val="DefaultParagraphFont"/>
    <w:rsid w:val="00B12C3B"/>
    <w:rPr>
      <w:sz w:val="16"/>
    </w:rPr>
  </w:style>
  <w:style w:type="paragraph" w:customStyle="1" w:styleId="WideTable">
    <w:name w:val="Wide Table"/>
    <w:basedOn w:val="Normal"/>
    <w:rsid w:val="00B12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C3B"/>
  </w:style>
  <w:style w:type="paragraph" w:styleId="Quote">
    <w:name w:val="Quote"/>
    <w:basedOn w:val="Heading1"/>
    <w:link w:val="QuoteChar"/>
    <w:qFormat/>
    <w:rsid w:val="00B12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C3B"/>
    <w:pPr>
      <w:pageBreakBefore/>
    </w:pPr>
  </w:style>
  <w:style w:type="paragraph" w:customStyle="1" w:styleId="Border">
    <w:name w:val="Border"/>
    <w:basedOn w:val="Normal"/>
    <w:qFormat/>
    <w:rsid w:val="00B12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C3B"/>
    <w:rPr>
      <w:u w:val="single"/>
    </w:rPr>
  </w:style>
  <w:style w:type="character" w:customStyle="1" w:styleId="BoldandItalics">
    <w:name w:val="Bold and Italics"/>
    <w:qFormat/>
    <w:rsid w:val="00B12C3B"/>
    <w:rPr>
      <w:b/>
      <w:i/>
      <w:u w:val="none"/>
    </w:rPr>
  </w:style>
  <w:style w:type="paragraph" w:styleId="BalloonText">
    <w:name w:val="Balloon Text"/>
    <w:basedOn w:val="Normal"/>
    <w:link w:val="BalloonTextChar"/>
    <w:rsid w:val="00B12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C3B"/>
    <w:pPr>
      <w:spacing w:before="0" w:after="0"/>
    </w:pPr>
  </w:style>
  <w:style w:type="paragraph" w:customStyle="1" w:styleId="BodyTextBold">
    <w:name w:val="Body Text Bold"/>
    <w:basedOn w:val="BodyText"/>
    <w:qFormat/>
    <w:rsid w:val="00B12C3B"/>
    <w:rPr>
      <w:b/>
    </w:rPr>
  </w:style>
  <w:style w:type="character" w:styleId="Hyperlink">
    <w:name w:val="Hyperlink"/>
    <w:basedOn w:val="DefaultParagraphFont"/>
    <w:uiPriority w:val="99"/>
    <w:unhideWhenUsed/>
    <w:rsid w:val="00A67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2839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CPPDSM4020 Present at tribunals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2021-05-19T13:00:00Z</dcterms:created>
  <dcterms:modified xsi:type="dcterms:W3CDTF">2021-05-19T13:00:00Z</dcterms:modified>
</cp:coreProperties>
</file>