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7BB" w:rsidP="00AB57BB">
      <w:pPr>
        <w:pStyle w:val="Title"/>
      </w:pPr>
      <w:r>
        <w:fldChar w:fldCharType="begin"/>
      </w:r>
      <w:r>
        <w:instrText xml:space="preserve"> TITLE   \* MERGEFORMAT </w:instrText>
      </w:r>
      <w:r>
        <w:fldChar w:fldCharType="separate"/>
      </w:r>
      <w:r>
        <w:t>CPPDSM4009 Interpret legislation to complete work in the property industry</w:t>
      </w:r>
      <w:r>
        <w:fldChar w:fldCharType="end"/>
      </w:r>
    </w:p>
    <w:p w:rsidR="00AB57BB" w:rsidP="00AB57BB">
      <w:pPr>
        <w:pStyle w:val="Version"/>
        <w:sectPr w:rsidSect="003B12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2DE" w:rsidP="003B12DE">
      <w:pPr>
        <w:pStyle w:val="SuperHeading"/>
      </w:pPr>
      <w:r w:rsidRPr="003B12DE">
        <w:t>CPPDSM4009 Interpret legislation to complete work in the property industry</w:t>
      </w:r>
    </w:p>
    <w:p w:rsidR="00000000" w:rsidRPr="003B12DE" w:rsidP="003B12DE">
      <w:pPr>
        <w:pStyle w:val="Heading1"/>
      </w:pPr>
      <w:bookmarkStart w:id="1" w:name="O_864387"/>
      <w:bookmarkEnd w:id="1"/>
      <w:r w:rsidRPr="003B12DE">
        <w:t>Modification History</w:t>
      </w:r>
    </w:p>
    <w:p w:rsidR="00000000" w:rsidRPr="003B12DE" w:rsidP="00AB57BB">
      <w:pPr>
        <w:pStyle w:val="BodyText"/>
      </w:pPr>
      <w:r w:rsidRPr="003B12DE">
        <w:t>Release 1.</w:t>
      </w:r>
    </w:p>
    <w:p w:rsidR="00000000" w:rsidRPr="003B12DE" w:rsidP="00AB57BB">
      <w:pPr>
        <w:pStyle w:val="BodyText"/>
      </w:pPr>
      <w:r w:rsidRPr="003B12DE">
        <w:t>Replaces superseded equivalent CPPDSM4009B Interpret legislation to complete agency work.</w:t>
      </w:r>
    </w:p>
    <w:p w:rsidR="00000000" w:rsidRPr="003B12DE" w:rsidP="00AB57BB">
      <w:pPr>
        <w:pStyle w:val="BodyText"/>
      </w:pPr>
      <w:r w:rsidRPr="003B12DE">
        <w:t>This version first released with CPP Property Services Training Package Version 5.</w:t>
      </w:r>
    </w:p>
    <w:p w:rsidR="00000000" w:rsidRPr="003B12DE" w:rsidP="003B12DE">
      <w:pPr>
        <w:pStyle w:val="Heading1"/>
      </w:pPr>
      <w:bookmarkStart w:id="2" w:name="O_864395"/>
      <w:bookmarkEnd w:id="2"/>
      <w:r w:rsidRPr="003B12DE">
        <w:t>Application</w:t>
      </w:r>
    </w:p>
    <w:p w:rsidR="00000000" w:rsidRPr="003B12DE" w:rsidP="00AB57BB">
      <w:pPr>
        <w:pStyle w:val="BodyText"/>
      </w:pPr>
      <w:r w:rsidRPr="003B12DE">
        <w:t>This unit of competency specifies the outcomes required to source and interpret legislation affecting operations in the property industry. It in</w:t>
      </w:r>
      <w:r w:rsidRPr="003B12DE">
        <w:t>cludes identifying and applying statutory interpretation techniques, identifying and tracking changes to relevant property industry legislation and industry codes of conduct, and maintaining appropriate records.</w:t>
      </w:r>
    </w:p>
    <w:p w:rsidR="00000000" w:rsidRPr="003B12DE" w:rsidP="00AB57BB">
      <w:pPr>
        <w:pStyle w:val="BodyText"/>
      </w:pPr>
      <w:r w:rsidRPr="003B12DE">
        <w:t>The unit supports the work of professionals</w:t>
      </w:r>
      <w:r w:rsidRPr="003B12DE">
        <w:t xml:space="preserve"> in the property industry, including licensed real estate and stock and station agents, strata managers and their authorised representatives, with regard to identifying, interpreting and applying legislation and industry codes of conduct affecting property</w:t>
      </w:r>
      <w:r w:rsidRPr="003B12DE">
        <w:t xml:space="preserve"> operations.</w:t>
      </w:r>
    </w:p>
    <w:p w:rsidR="00000000" w:rsidRPr="003B12DE" w:rsidP="00AB57BB">
      <w:pPr>
        <w:pStyle w:val="BodyText"/>
      </w:pPr>
      <w:r w:rsidRPr="003B12DE">
        <w:t>Licensing, legislative, regulatory or certification requirements apply to this unit in some States and Territories. Relevant state and territory regulatory authorities should be consulted to confirm those requirements.</w:t>
      </w:r>
    </w:p>
    <w:p w:rsidR="00000000" w:rsidRPr="003B12DE" w:rsidP="003B12DE">
      <w:pPr>
        <w:pStyle w:val="Heading1"/>
      </w:pPr>
      <w:bookmarkStart w:id="3" w:name="O_864394"/>
      <w:bookmarkEnd w:id="3"/>
      <w:r w:rsidRPr="003B12DE">
        <w:t>Pre-re</w:t>
      </w:r>
      <w:r w:rsidRPr="003B12DE">
        <w:t>quisite Unit</w:t>
      </w:r>
    </w:p>
    <w:p w:rsidR="00000000" w:rsidRPr="003B12DE" w:rsidP="00AB57BB">
      <w:pPr>
        <w:pStyle w:val="BodyText"/>
      </w:pPr>
      <w:r w:rsidRPr="003B12DE">
        <w:t>Nil</w:t>
      </w:r>
    </w:p>
    <w:p w:rsidR="00000000" w:rsidRPr="003B12DE" w:rsidP="003B12DE">
      <w:pPr>
        <w:pStyle w:val="Heading1"/>
      </w:pPr>
      <w:bookmarkStart w:id="4" w:name="O_864393"/>
      <w:bookmarkEnd w:id="4"/>
      <w:r w:rsidRPr="003B12DE">
        <w:t>Competency Field</w:t>
      </w:r>
    </w:p>
    <w:p w:rsidR="00000000" w:rsidRPr="003B12DE" w:rsidP="00AB57BB">
      <w:pPr>
        <w:pStyle w:val="BodyText"/>
      </w:pPr>
      <w:r w:rsidRPr="003B12DE">
        <w:t>Strata community management</w:t>
      </w:r>
    </w:p>
    <w:p w:rsidR="00000000" w:rsidRPr="003B12DE" w:rsidP="003B12DE">
      <w:pPr>
        <w:pStyle w:val="Heading1"/>
      </w:pPr>
      <w:bookmarkStart w:id="5" w:name="O_864392"/>
      <w:bookmarkEnd w:id="5"/>
      <w:r w:rsidRPr="003B12DE">
        <w:t>Unit Sector</w:t>
      </w:r>
    </w:p>
    <w:p w:rsidR="00000000" w:rsidRPr="003B12DE" w:rsidP="00AB57BB">
      <w:pPr>
        <w:pStyle w:val="BodyText"/>
      </w:pPr>
      <w:r w:rsidRPr="003B12DE">
        <w:t>Property services</w:t>
      </w:r>
    </w:p>
    <w:p w:rsidR="00000000" w:rsidRPr="003B12DE" w:rsidP="003B12DE">
      <w:pPr>
        <w:pStyle w:val="Heading1"/>
      </w:pPr>
      <w:bookmarkStart w:id="6" w:name="O_864391"/>
      <w:bookmarkEnd w:id="6"/>
      <w:r w:rsidRPr="003B12DE">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3B12D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Performance criteria describe the performance needed to demonstrate achievement of the element. Where bold italicised text is used, further information is detailed in the range of conditions.</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1.</w:t>
            </w:r>
          </w:p>
        </w:tc>
        <w:tc>
          <w:tcPr>
            <w:tcW w:w="1936" w:type="dxa"/>
            <w:vMerge w:val="restart"/>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Identify legal principles and legislative requirements affe</w:t>
            </w:r>
            <w:r w:rsidRPr="003B12DE">
              <w:t>cting property operations.</w:t>
            </w: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1.1.</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Legal framework</w:t>
            </w:r>
            <w:r w:rsidRPr="003B12DE">
              <w:t xml:space="preserve"> in which property organisations operate is identified.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1.2.</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Components of statute law</w:t>
            </w:r>
            <w:r w:rsidRPr="003B12DE">
              <w:t xml:space="preserve"> and their relationships are identified with respect to their application to practice in the property industry.</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1.3.</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Source documents for legislation and regulations relating to provision of property services are identified and accessed.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2.</w:t>
            </w:r>
          </w:p>
        </w:tc>
        <w:tc>
          <w:tcPr>
            <w:tcW w:w="1936" w:type="dxa"/>
            <w:vMerge w:val="restart"/>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Interpret legislative requirements affecting property operations.</w:t>
            </w: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2.1.</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Structure</w:t>
            </w:r>
            <w:r w:rsidRPr="003B12DE">
              <w:t xml:space="preserve"> </w:t>
            </w:r>
            <w:r w:rsidRPr="003B12DE">
              <w:rPr>
                <w:rStyle w:val="BoldandItalics"/>
              </w:rPr>
              <w:t>of property legislation and regulations</w:t>
            </w:r>
            <w:r w:rsidRPr="003B12DE">
              <w:t xml:space="preserve"> are identi</w:t>
            </w:r>
            <w:r w:rsidRPr="003B12DE">
              <w:t>fied.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2.2.</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Common interpretation problems</w:t>
            </w:r>
            <w:r w:rsidRPr="003B12DE">
              <w:t xml:space="preserve"> with property legislation and regulations are identified.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2.3.</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Rules and techniques for interpreting property legislation and regulations</w:t>
            </w:r>
            <w:r w:rsidRPr="003B12DE">
              <w:t xml:space="preserve"> are identified and applied.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3.</w:t>
            </w:r>
          </w:p>
        </w:tc>
        <w:tc>
          <w:tcPr>
            <w:tcW w:w="1936" w:type="dxa"/>
            <w:vMerge w:val="restart"/>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Identify changes to legislation and regulations affecting agency or organisation operations.</w:t>
            </w: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3.1.</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Processes</w:t>
            </w:r>
            <w:r w:rsidRPr="003B12DE">
              <w:t xml:space="preserve"> that lead to changes in property legislation and regulations are identified.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3.2.</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Source documents</w:t>
            </w:r>
            <w:r w:rsidRPr="003B12DE">
              <w:t xml:space="preserve"> for amendment legislation relevant to the prov</w:t>
            </w:r>
            <w:r w:rsidRPr="003B12DE">
              <w:t>ision of agency or organisation services are identified and accessed.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3.3.</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Techniques for tracking amendments</w:t>
            </w:r>
            <w:r w:rsidRPr="003B12DE">
              <w:t xml:space="preserve"> to property legislation and regulations are identified and applied.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3.4.</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Implications of changes to legislative and regulatory requirements are identified and addressed in line with agency or organisation practice.</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3.5.</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Strategies for identifying amendments to legislation and regulations are implemented.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3.6.</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Changes to l</w:t>
            </w:r>
            <w:r w:rsidRPr="003B12DE">
              <w:t xml:space="preserve">egislative and regulatory requirements are communicated to </w:t>
            </w:r>
            <w:r w:rsidRPr="003B12DE">
              <w:rPr>
                <w:rStyle w:val="BoldandItalics"/>
              </w:rPr>
              <w:t>appropriate people</w:t>
            </w:r>
            <w:r w:rsidRPr="003B12DE">
              <w:t>.</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4.</w:t>
            </w:r>
          </w:p>
        </w:tc>
        <w:tc>
          <w:tcPr>
            <w:tcW w:w="1936" w:type="dxa"/>
            <w:vMerge w:val="restart"/>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 xml:space="preserve">Comply with relevant industry </w:t>
            </w:r>
            <w:r w:rsidRPr="003B12DE">
              <w:t>codes.</w:t>
            </w: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4.1.</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Industry codes of conduct</w:t>
            </w:r>
            <w:r w:rsidRPr="003B12DE">
              <w:t xml:space="preserve"> are sourced and accessed.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4.2.</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 xml:space="preserve">Relationship between industry codes of conduct and </w:t>
            </w:r>
            <w:r w:rsidRPr="003B12DE">
              <w:t>legislative requirements are identified.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4.3.</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Key principles and responsibilities of industry codes of conduct are interpreted and applied to own work.</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4.4.</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Commitment to complying with industry codes of conduct is demonstrated through own ethical behaviour.</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5.</w:t>
            </w:r>
          </w:p>
        </w:tc>
        <w:tc>
          <w:tcPr>
            <w:tcW w:w="1936" w:type="dxa"/>
            <w:vMerge w:val="restart"/>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Maintain records of legislation and industry codes.</w:t>
            </w:r>
          </w:p>
        </w:tc>
        <w:tc>
          <w:tcPr>
            <w:tcW w:w="796"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5.1.</w:t>
            </w:r>
          </w:p>
        </w:tc>
        <w:tc>
          <w:tcPr>
            <w:tcW w:w="5610"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Agency or organisation processes for maintaining records of changes to legislation and indust</w:t>
            </w:r>
            <w:r w:rsidRPr="003B12DE">
              <w:t>ry codes are identified.</w:t>
            </w:r>
          </w:p>
        </w:tc>
      </w:tr>
      <w:tr w:rsidTr="003B12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t>5.2.</w:t>
            </w:r>
          </w:p>
        </w:tc>
        <w:tc>
          <w:tcPr>
            <w:tcW w:w="5610"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rPr>
                <w:rStyle w:val="BoldandItalics"/>
              </w:rPr>
              <w:t>Records</w:t>
            </w:r>
            <w:r w:rsidRPr="003B12DE">
              <w:t xml:space="preserve"> of changes to legislation and industry codes are maintained.</w:t>
            </w:r>
          </w:p>
        </w:tc>
      </w:tr>
    </w:tbl>
    <w:p w:rsidR="00000000" w:rsidRPr="003B12DE" w:rsidP="003B12DE">
      <w:pPr>
        <w:pStyle w:val="BodyText"/>
      </w:pPr>
    </w:p>
    <w:p w:rsidR="00000000" w:rsidRPr="003B12DE" w:rsidP="003B12DE">
      <w:pPr>
        <w:pStyle w:val="AllowPageBreak"/>
      </w:pPr>
    </w:p>
    <w:p w:rsidR="00000000" w:rsidRPr="003B12DE" w:rsidP="003B12DE">
      <w:pPr>
        <w:pStyle w:val="Heading1"/>
      </w:pPr>
      <w:bookmarkStart w:id="7" w:name="O_864390"/>
      <w:bookmarkEnd w:id="7"/>
      <w:r w:rsidRPr="003B12DE">
        <w:t>Foundation Skills</w:t>
      </w:r>
    </w:p>
    <w:tbl>
      <w:tblPr>
        <w:tblW w:w="0" w:type="auto"/>
        <w:tblLayout w:type="fixed"/>
        <w:tblCellMar>
          <w:left w:w="62" w:type="dxa"/>
          <w:right w:w="62" w:type="dxa"/>
        </w:tblCellMar>
        <w:tblLook w:val="0000"/>
      </w:tblPr>
      <w:tblGrid>
        <w:gridCol w:w="2195"/>
        <w:gridCol w:w="6877"/>
      </w:tblGrid>
      <w:tr w:rsidTr="003B1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This section describes the language, literacy, numeracy and employment skills essential to performance in this unit but not explicit in the performance criteria.</w:t>
            </w:r>
          </w:p>
        </w:tc>
      </w:tr>
      <w:tr w:rsidTr="003B12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B12DE" w:rsidP="003B12DE">
            <w:pPr>
              <w:pStyle w:val="BodyText"/>
            </w:pPr>
            <w:r w:rsidRPr="003B12D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SpecialBold"/>
              </w:rPr>
              <w:t>Performance feature</w:t>
            </w:r>
          </w:p>
        </w:tc>
      </w:tr>
      <w:tr w:rsidTr="003B12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Learning skills to:</w:t>
            </w:r>
          </w:p>
        </w:tc>
        <w:tc>
          <w:tcPr>
            <w:tcW w:w="6877" w:type="dxa"/>
            <w:tcBorders>
              <w:top w:val="nil"/>
              <w:left w:val="nil"/>
              <w:bottom w:val="nil"/>
              <w:right w:val="nil"/>
            </w:tcBorders>
            <w:tcMar>
              <w:top w:w="0" w:type="dxa"/>
              <w:left w:w="62" w:type="dxa"/>
              <w:bottom w:w="0" w:type="dxa"/>
              <w:right w:w="62" w:type="dxa"/>
            </w:tcMar>
          </w:tcPr>
          <w:p w:rsidR="00000000" w:rsidP="003B12DE">
            <w:pPr>
              <w:pStyle w:val="ListBullet"/>
              <w:rPr>
                <w:lang w:val="en-NZ"/>
              </w:rPr>
            </w:pPr>
            <w:r w:rsidRPr="003B12DE">
              <w:t>maintain current knowledge of legislative requirements and amendments affecting work in the property industry.</w:t>
            </w:r>
          </w:p>
        </w:tc>
      </w:tr>
      <w:tr w:rsidTr="003B12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B12DE">
            <w:pPr>
              <w:pStyle w:val="ListBullet"/>
              <w:rPr>
                <w:lang w:val="en-NZ"/>
              </w:rPr>
            </w:pPr>
            <w:r w:rsidRPr="003B12DE">
              <w:t>ask questions to clarify legislative requirements affecting operations relating to the sale, lease and management</w:t>
            </w:r>
            <w:r w:rsidRPr="003B12DE">
              <w:t xml:space="preserve"> of residential property.</w:t>
            </w:r>
          </w:p>
        </w:tc>
      </w:tr>
      <w:tr w:rsidTr="003B12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Reading skills to:</w:t>
            </w:r>
          </w:p>
        </w:tc>
        <w:tc>
          <w:tcPr>
            <w:tcW w:w="6877" w:type="dxa"/>
            <w:tcBorders>
              <w:top w:val="nil"/>
              <w:left w:val="nil"/>
              <w:bottom w:val="nil"/>
              <w:right w:val="nil"/>
            </w:tcBorders>
            <w:tcMar>
              <w:top w:w="0" w:type="dxa"/>
              <w:left w:w="62" w:type="dxa"/>
              <w:bottom w:w="0" w:type="dxa"/>
              <w:right w:w="62" w:type="dxa"/>
            </w:tcMar>
          </w:tcPr>
          <w:p w:rsidR="00000000" w:rsidP="003B12DE">
            <w:pPr>
              <w:pStyle w:val="ListBullet"/>
              <w:rPr>
                <w:lang w:val="en-NZ"/>
              </w:rPr>
            </w:pPr>
            <w:r w:rsidRPr="003B12DE">
              <w:t>read and extract information from legislation, regulations and code of conduct.</w:t>
            </w:r>
          </w:p>
        </w:tc>
      </w:tr>
      <w:tr w:rsidTr="003B12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Writing skills to:</w:t>
            </w:r>
          </w:p>
        </w:tc>
        <w:tc>
          <w:tcPr>
            <w:tcW w:w="6877" w:type="dxa"/>
            <w:tcBorders>
              <w:top w:val="nil"/>
              <w:left w:val="nil"/>
              <w:bottom w:val="nil"/>
              <w:right w:val="nil"/>
            </w:tcBorders>
            <w:tcMar>
              <w:top w:w="0" w:type="dxa"/>
              <w:left w:w="62" w:type="dxa"/>
              <w:bottom w:w="0" w:type="dxa"/>
              <w:right w:w="62" w:type="dxa"/>
            </w:tcMar>
          </w:tcPr>
          <w:p w:rsidR="00000000" w:rsidP="003B12DE">
            <w:pPr>
              <w:pStyle w:val="ListBullet"/>
              <w:rPr>
                <w:lang w:val="en-NZ"/>
              </w:rPr>
            </w:pPr>
            <w:r w:rsidRPr="003B12DE">
              <w:t>prepare briefing notes, reports and letters to communicate with other industry professionals about changes t</w:t>
            </w:r>
            <w:r w:rsidRPr="003B12DE">
              <w:t>o legislation, regulations and code of conduct affecting operations in the property industry.</w:t>
            </w:r>
          </w:p>
        </w:tc>
      </w:tr>
      <w:tr w:rsidTr="003B12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Technology skills to:</w:t>
            </w:r>
          </w:p>
        </w:tc>
        <w:tc>
          <w:tcPr>
            <w:tcW w:w="6877"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use business technology to access complex online databases and other sources of information on legislation relevant to the property indust</w:t>
            </w:r>
            <w:r w:rsidRPr="003B12DE">
              <w:t>ry.</w:t>
            </w:r>
          </w:p>
        </w:tc>
      </w:tr>
    </w:tbl>
    <w:p w:rsidR="00000000" w:rsidRPr="003B12DE" w:rsidP="003B12DE">
      <w:pPr>
        <w:pStyle w:val="BodyText"/>
      </w:pPr>
    </w:p>
    <w:p w:rsidR="00000000" w:rsidRPr="003B12DE" w:rsidP="003B12DE">
      <w:pPr>
        <w:pStyle w:val="AllowPageBreak"/>
      </w:pPr>
    </w:p>
    <w:p w:rsidR="00000000" w:rsidRPr="003B12DE" w:rsidP="003B12DE">
      <w:pPr>
        <w:pStyle w:val="Heading1"/>
      </w:pPr>
      <w:bookmarkStart w:id="8" w:name="O_864389"/>
      <w:bookmarkEnd w:id="8"/>
      <w:r w:rsidRPr="003B12DE">
        <w:t>Range of Conditions</w:t>
      </w:r>
    </w:p>
    <w:tbl>
      <w:tblPr>
        <w:tblW w:w="0" w:type="auto"/>
        <w:tblLayout w:type="fixed"/>
        <w:tblCellMar>
          <w:left w:w="62" w:type="dxa"/>
          <w:right w:w="62" w:type="dxa"/>
        </w:tblCellMar>
        <w:tblLook w:val="0000"/>
      </w:tblPr>
      <w:tblGrid>
        <w:gridCol w:w="2364"/>
        <w:gridCol w:w="6708"/>
      </w:tblGrid>
      <w:tr w:rsidTr="003B1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t xml:space="preserve">This section specifies work environments and conditions that may affect performance. Essential operating conditions that may be present (depending on the work </w:t>
            </w:r>
            <w:r w:rsidRPr="003B12DE">
              <w:t>situation, needs of the candidate, accessibility of the item, and local industry and regional contexts) are included. Bold italicised wording, if used in the performance criteria, is detailed below.</w:t>
            </w:r>
          </w:p>
        </w:tc>
      </w:tr>
      <w:tr w:rsidTr="003B12D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Legal framework</w:t>
            </w:r>
            <w:r w:rsidRPr="003B12D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common law</w:t>
            </w:r>
          </w:p>
          <w:p w:rsidR="00000000" w:rsidRPr="003B12DE" w:rsidP="003B12DE">
            <w:pPr>
              <w:pStyle w:val="ListBullet"/>
            </w:pPr>
            <w:r w:rsidRPr="003B12DE">
              <w:t>contract law</w:t>
            </w:r>
          </w:p>
          <w:p w:rsidR="00000000" w:rsidRPr="003B12DE" w:rsidP="003B12DE">
            <w:pPr>
              <w:pStyle w:val="ListBullet"/>
            </w:pPr>
            <w:r w:rsidRPr="003B12DE">
              <w:t>equity law</w:t>
            </w:r>
          </w:p>
          <w:p w:rsidR="00000000" w:rsidP="003B12DE">
            <w:pPr>
              <w:pStyle w:val="ListBullet"/>
              <w:rPr>
                <w:lang w:val="en-NZ"/>
              </w:rPr>
            </w:pPr>
            <w:r w:rsidRPr="003B12DE">
              <w:t>statute law.</w:t>
            </w:r>
          </w:p>
        </w:tc>
      </w:tr>
      <w:tr w:rsidTr="003B12D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Components of statute law</w:t>
            </w:r>
            <w:r w:rsidRPr="003B12D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principal legislation, such as Acts</w:t>
            </w:r>
          </w:p>
          <w:p w:rsidR="00000000" w:rsidRPr="003B12DE" w:rsidP="003B12DE">
            <w:pPr>
              <w:pStyle w:val="ListBullet"/>
            </w:pPr>
            <w:r w:rsidRPr="003B12DE">
              <w:t>subordinate legislation, such as:</w:t>
            </w:r>
          </w:p>
          <w:p w:rsidR="00000000" w:rsidRPr="003B12DE" w:rsidP="003B12DE">
            <w:pPr>
              <w:pStyle w:val="ListBullet2"/>
            </w:pPr>
            <w:r w:rsidRPr="003B12DE">
              <w:t>approvals</w:t>
            </w:r>
          </w:p>
          <w:p w:rsidR="00000000" w:rsidRPr="003B12DE" w:rsidP="003B12DE">
            <w:pPr>
              <w:pStyle w:val="ListBullet2"/>
            </w:pPr>
            <w:r w:rsidRPr="003B12DE">
              <w:t>determinations</w:t>
            </w:r>
          </w:p>
          <w:p w:rsidR="00000000" w:rsidRPr="003B12DE" w:rsidP="003B12DE">
            <w:pPr>
              <w:pStyle w:val="ListBullet2"/>
            </w:pPr>
            <w:r w:rsidRPr="003B12DE">
              <w:t>mandatory and non-mandatory administrative guidelines</w:t>
            </w:r>
          </w:p>
          <w:p w:rsidR="00000000" w:rsidRPr="003B12DE" w:rsidP="003B12DE">
            <w:pPr>
              <w:pStyle w:val="ListBullet2"/>
            </w:pPr>
            <w:r w:rsidRPr="003B12DE">
              <w:t>orders</w:t>
            </w:r>
          </w:p>
          <w:p w:rsidR="00000000" w:rsidP="003B12DE">
            <w:pPr>
              <w:pStyle w:val="ListBullet"/>
              <w:rPr>
                <w:lang w:val="en-NZ"/>
              </w:rPr>
            </w:pPr>
            <w:r w:rsidRPr="003B12DE">
              <w:t>regulations.</w:t>
            </w:r>
          </w:p>
        </w:tc>
      </w:tr>
      <w:tr w:rsidTr="003B12D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Structure</w:t>
            </w:r>
            <w:r w:rsidRPr="003B12DE">
              <w:t xml:space="preserve"> </w:t>
            </w:r>
            <w:r w:rsidRPr="003B12DE">
              <w:rPr>
                <w:rStyle w:val="BoldandItalics"/>
              </w:rPr>
              <w:t>of property legislation and regulations</w:t>
            </w:r>
            <w:r w:rsidRPr="003B12D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endnotes, including:</w:t>
            </w:r>
          </w:p>
          <w:p w:rsidR="00000000" w:rsidRPr="003B12DE" w:rsidP="003B12DE">
            <w:pPr>
              <w:pStyle w:val="ListBullet2"/>
            </w:pPr>
            <w:r w:rsidRPr="003B12DE">
              <w:t>explanatory notes</w:t>
            </w:r>
          </w:p>
          <w:p w:rsidR="00000000" w:rsidRPr="003B12DE" w:rsidP="003B12DE">
            <w:pPr>
              <w:pStyle w:val="ListBullet2"/>
            </w:pPr>
            <w:r w:rsidRPr="003B12DE">
              <w:t>index</w:t>
            </w:r>
          </w:p>
          <w:p w:rsidR="00000000" w:rsidRPr="003B12DE" w:rsidP="003B12DE">
            <w:pPr>
              <w:pStyle w:val="ListBullet2"/>
            </w:pPr>
            <w:r w:rsidRPr="003B12DE">
              <w:t>table of amendments</w:t>
            </w:r>
          </w:p>
          <w:p w:rsidR="00000000" w:rsidRPr="003B12DE" w:rsidP="003B12DE">
            <w:pPr>
              <w:pStyle w:val="ListBullet"/>
            </w:pPr>
            <w:r w:rsidRPr="003B12DE">
              <w:t>section headings, margin notes and clause notes</w:t>
            </w:r>
          </w:p>
          <w:p w:rsidR="00000000" w:rsidRPr="003B12DE" w:rsidP="003B12DE">
            <w:pPr>
              <w:pStyle w:val="ListBullet"/>
            </w:pPr>
            <w:r w:rsidRPr="003B12DE">
              <w:t>parts, sections, subsections, paragraphs, regulations, sub-regulations and clauses</w:t>
            </w:r>
          </w:p>
          <w:p w:rsidR="00000000" w:rsidRPr="003B12DE" w:rsidP="003B12DE">
            <w:pPr>
              <w:pStyle w:val="ListBullet"/>
            </w:pPr>
            <w:r w:rsidRPr="003B12DE">
              <w:t>types of provisions, including:</w:t>
            </w:r>
          </w:p>
          <w:p w:rsidR="00000000" w:rsidRPr="003B12DE" w:rsidP="003B12DE">
            <w:pPr>
              <w:pStyle w:val="ListBullet2"/>
            </w:pPr>
            <w:r w:rsidRPr="003B12DE">
              <w:t>approvals</w:t>
            </w:r>
          </w:p>
          <w:p w:rsidR="00000000" w:rsidRPr="003B12DE" w:rsidP="003B12DE">
            <w:pPr>
              <w:pStyle w:val="ListBullet2"/>
            </w:pPr>
            <w:r w:rsidRPr="003B12DE">
              <w:t>deeming provisions</w:t>
            </w:r>
          </w:p>
          <w:p w:rsidR="00000000" w:rsidRPr="003B12DE" w:rsidP="003B12DE">
            <w:pPr>
              <w:pStyle w:val="ListBullet2"/>
            </w:pPr>
            <w:r w:rsidRPr="003B12DE">
              <w:t>definitions and interpretations</w:t>
            </w:r>
          </w:p>
          <w:p w:rsidR="00000000" w:rsidRPr="003B12DE" w:rsidP="003B12DE">
            <w:pPr>
              <w:pStyle w:val="ListBullet2"/>
            </w:pPr>
            <w:r w:rsidRPr="003B12DE">
              <w:t>general penalties</w:t>
            </w:r>
          </w:p>
          <w:p w:rsidR="00000000" w:rsidRPr="003B12DE" w:rsidP="003B12DE">
            <w:pPr>
              <w:pStyle w:val="ListBullet2"/>
            </w:pPr>
            <w:r w:rsidRPr="003B12DE">
              <w:t>objectives</w:t>
            </w:r>
          </w:p>
          <w:p w:rsidR="00000000" w:rsidRPr="003B12DE" w:rsidP="003B12DE">
            <w:pPr>
              <w:pStyle w:val="ListBullet2"/>
            </w:pPr>
            <w:r w:rsidRPr="003B12DE">
              <w:t>offences</w:t>
            </w:r>
          </w:p>
          <w:p w:rsidR="00000000" w:rsidP="003B12DE">
            <w:pPr>
              <w:pStyle w:val="ListBullet"/>
              <w:rPr>
                <w:lang w:val="en-NZ"/>
              </w:rPr>
            </w:pPr>
            <w:r w:rsidRPr="003B12DE">
              <w:t>prescribed arrangements relating to regulations and orders.</w:t>
            </w:r>
          </w:p>
        </w:tc>
      </w:tr>
      <w:tr w:rsidTr="003B12D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Common interpretation problems</w:t>
            </w:r>
            <w:r w:rsidRPr="003B12D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ambiguous words</w:t>
            </w:r>
          </w:p>
          <w:p w:rsidR="00000000" w:rsidRPr="003B12DE" w:rsidP="003B12DE">
            <w:pPr>
              <w:pStyle w:val="ListBullet"/>
            </w:pPr>
            <w:r w:rsidRPr="003B12DE">
              <w:t>broad phrases</w:t>
            </w:r>
          </w:p>
          <w:p w:rsidR="00000000" w:rsidRPr="003B12DE" w:rsidP="003B12DE">
            <w:pPr>
              <w:pStyle w:val="ListBullet"/>
            </w:pPr>
            <w:r w:rsidRPr="003B12DE">
              <w:t>need for words to be implied</w:t>
            </w:r>
          </w:p>
          <w:p w:rsidR="00000000" w:rsidRPr="003B12DE" w:rsidP="003B12DE">
            <w:pPr>
              <w:pStyle w:val="ListBullet"/>
            </w:pPr>
            <w:r w:rsidRPr="003B12DE">
              <w:t>printing and drafting errors</w:t>
            </w:r>
          </w:p>
          <w:p w:rsidR="00000000" w:rsidP="003B12DE">
            <w:pPr>
              <w:pStyle w:val="ListBullet"/>
              <w:rPr>
                <w:lang w:val="en-NZ"/>
              </w:rPr>
            </w:pPr>
            <w:r w:rsidRPr="003B12DE">
              <w:t>unforeseen developments, such as changes in technology or practice.</w:t>
            </w:r>
          </w:p>
        </w:tc>
      </w:tr>
      <w:tr w:rsidTr="003B12DE">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Rules and techniques for interpreting property legislation and regulations</w:t>
            </w:r>
            <w:r w:rsidRPr="003B12D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aids to interpreting legi</w:t>
            </w:r>
            <w:r w:rsidRPr="003B12DE">
              <w:t>slation, including:</w:t>
            </w:r>
          </w:p>
          <w:p w:rsidR="00000000" w:rsidRPr="003B12DE" w:rsidP="003B12DE">
            <w:pPr>
              <w:pStyle w:val="ListBullet2"/>
            </w:pPr>
            <w:r w:rsidRPr="003B12DE">
              <w:t>external: interpretations of legislation, Acts, Hansard/parliamentary papers, legal dictionaries and previous judicial interpretations</w:t>
            </w:r>
          </w:p>
          <w:p w:rsidR="00000000" w:rsidRPr="003B12DE" w:rsidP="003B12DE">
            <w:pPr>
              <w:pStyle w:val="ListBullet2"/>
            </w:pPr>
            <w:r w:rsidRPr="003B12DE">
              <w:t>internal: objectives, legislation to be accessed as a whole, definitions and</w:t>
            </w:r>
            <w:r w:rsidRPr="003B12DE">
              <w:t xml:space="preserve"> interpretation sections in legislation, headings, and margin notes</w:t>
            </w:r>
          </w:p>
          <w:p w:rsidR="00000000" w:rsidRPr="003B12DE" w:rsidP="003B12DE">
            <w:pPr>
              <w:pStyle w:val="ListBullet"/>
            </w:pPr>
            <w:r w:rsidRPr="003B12DE">
              <w:t>language conventions and expressions, including:</w:t>
            </w:r>
          </w:p>
          <w:p w:rsidR="00000000" w:rsidRPr="003B12DE" w:rsidP="003B12DE">
            <w:pPr>
              <w:pStyle w:val="ListBullet2"/>
            </w:pPr>
            <w:r w:rsidRPr="003B12DE">
              <w:t>and, or</w:t>
            </w:r>
          </w:p>
          <w:p w:rsidR="00000000" w:rsidRPr="003B12DE" w:rsidP="003B12DE">
            <w:pPr>
              <w:pStyle w:val="ListBullet2"/>
            </w:pPr>
            <w:r w:rsidRPr="003B12DE">
              <w:t>gender</w:t>
            </w:r>
          </w:p>
          <w:p w:rsidR="00000000" w:rsidRPr="003B12DE" w:rsidP="003B12DE">
            <w:pPr>
              <w:pStyle w:val="ListBullet2"/>
            </w:pPr>
            <w:r w:rsidRPr="003B12DE">
              <w:t>hierarchy</w:t>
            </w:r>
          </w:p>
          <w:p w:rsidR="00000000" w:rsidRPr="003B12DE" w:rsidP="003B12DE">
            <w:pPr>
              <w:pStyle w:val="ListBullet2"/>
            </w:pPr>
            <w:r w:rsidRPr="003B12DE">
              <w:t>includes</w:t>
            </w:r>
          </w:p>
          <w:p w:rsidR="00000000" w:rsidRPr="003B12DE" w:rsidP="003B12DE">
            <w:pPr>
              <w:pStyle w:val="ListBullet2"/>
            </w:pPr>
            <w:r w:rsidRPr="003B12DE">
              <w:t>may, should and must</w:t>
            </w:r>
          </w:p>
          <w:p w:rsidR="00000000" w:rsidRPr="003B12DE" w:rsidP="003B12DE">
            <w:pPr>
              <w:pStyle w:val="ListBullet"/>
            </w:pPr>
            <w:r w:rsidRPr="003B12DE">
              <w:t>reading rules, including:</w:t>
            </w:r>
          </w:p>
          <w:p w:rsidR="00000000" w:rsidRPr="003B12DE" w:rsidP="003B12DE">
            <w:pPr>
              <w:pStyle w:val="ListBullet2"/>
            </w:pPr>
            <w:r w:rsidRPr="003B12DE">
              <w:t>context</w:t>
            </w:r>
          </w:p>
          <w:p w:rsidR="00000000" w:rsidRPr="003B12DE" w:rsidP="003B12DE">
            <w:pPr>
              <w:pStyle w:val="ListBullet2"/>
            </w:pPr>
            <w:r w:rsidRPr="003B12DE">
              <w:t>golden</w:t>
            </w:r>
          </w:p>
          <w:p w:rsidR="00000000" w:rsidRPr="003B12DE" w:rsidP="003B12DE">
            <w:pPr>
              <w:pStyle w:val="ListBullet2"/>
            </w:pPr>
            <w:r w:rsidRPr="003B12DE">
              <w:t>literal</w:t>
            </w:r>
          </w:p>
          <w:p w:rsidR="00000000" w:rsidRPr="003B12DE" w:rsidP="003B12DE">
            <w:pPr>
              <w:pStyle w:val="ListBullet2"/>
            </w:pPr>
            <w:r w:rsidRPr="003B12DE">
              <w:t>mischief</w:t>
            </w:r>
          </w:p>
          <w:p w:rsidR="00000000" w:rsidRPr="003B12DE" w:rsidP="003B12DE">
            <w:pPr>
              <w:pStyle w:val="ListBullet2"/>
            </w:pPr>
            <w:r w:rsidRPr="003B12DE">
              <w:t>purposive</w:t>
            </w:r>
          </w:p>
          <w:p w:rsidR="00000000" w:rsidRPr="003B12DE" w:rsidP="003B12DE">
            <w:pPr>
              <w:pStyle w:val="ListBullet"/>
            </w:pPr>
            <w:r w:rsidRPr="003B12DE">
              <w:t>express mention of one thing to the exclusion of another</w:t>
            </w:r>
          </w:p>
          <w:p w:rsidR="00000000" w:rsidRPr="003B12DE" w:rsidP="003B12DE">
            <w:pPr>
              <w:pStyle w:val="ListBullet"/>
            </w:pPr>
            <w:r w:rsidRPr="003B12DE">
              <w:t>words interpreted through their connection with other words</w:t>
            </w:r>
          </w:p>
          <w:p w:rsidR="00000000" w:rsidP="003B12DE">
            <w:pPr>
              <w:pStyle w:val="ListBullet"/>
              <w:rPr>
                <w:lang w:val="en-NZ"/>
              </w:rPr>
            </w:pPr>
            <w:r w:rsidRPr="003B12DE">
              <w:t>words with the same meaning.</w:t>
            </w:r>
          </w:p>
        </w:tc>
      </w:tr>
      <w:tr w:rsidTr="003B12DE">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Processes</w:t>
            </w:r>
            <w:r w:rsidRPr="003B12D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government agency approval</w:t>
            </w:r>
          </w:p>
          <w:p w:rsidR="00000000" w:rsidRPr="003B12DE" w:rsidP="003B12DE">
            <w:pPr>
              <w:pStyle w:val="ListBullet"/>
            </w:pPr>
            <w:r w:rsidRPr="003B12DE">
              <w:t>governor approval</w:t>
            </w:r>
          </w:p>
          <w:p w:rsidR="00000000" w:rsidRPr="003B12DE" w:rsidP="003B12DE">
            <w:pPr>
              <w:pStyle w:val="ListBullet"/>
            </w:pPr>
            <w:r w:rsidRPr="003B12DE">
              <w:t>minister approval</w:t>
            </w:r>
          </w:p>
          <w:p w:rsidR="00000000" w:rsidP="003B12DE">
            <w:pPr>
              <w:pStyle w:val="ListBullet"/>
              <w:rPr>
                <w:lang w:val="en-NZ"/>
              </w:rPr>
            </w:pPr>
            <w:r w:rsidRPr="003B12DE">
              <w:t>parliament.</w:t>
            </w:r>
          </w:p>
        </w:tc>
      </w:tr>
      <w:tr w:rsidTr="003B12DE">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Source documents</w:t>
            </w:r>
            <w:r w:rsidRPr="003B12D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amendment Acts</w:t>
            </w:r>
          </w:p>
          <w:p w:rsidR="00000000" w:rsidRPr="003B12DE" w:rsidP="003B12DE">
            <w:pPr>
              <w:pStyle w:val="ListBullet"/>
            </w:pPr>
            <w:r w:rsidRPr="003B12DE">
              <w:t>amendment regulations</w:t>
            </w:r>
          </w:p>
          <w:p w:rsidR="00000000" w:rsidRPr="003B12DE" w:rsidP="003B12DE">
            <w:pPr>
              <w:pStyle w:val="ListBullet"/>
            </w:pPr>
            <w:r w:rsidRPr="003B12DE">
              <w:t>Bills</w:t>
            </w:r>
          </w:p>
          <w:p w:rsidR="00000000" w:rsidP="003B12DE">
            <w:pPr>
              <w:pStyle w:val="ListBullet"/>
              <w:rPr>
                <w:lang w:val="en-NZ"/>
              </w:rPr>
            </w:pPr>
            <w:r w:rsidRPr="003B12DE">
              <w:t>consolidated or reprinted Acts.</w:t>
            </w:r>
          </w:p>
        </w:tc>
      </w:tr>
      <w:tr w:rsidTr="003B12DE">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Techniques for tracking amendments</w:t>
            </w:r>
            <w:r w:rsidRPr="003B12D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government and industry newsletters and information sessions</w:t>
            </w:r>
          </w:p>
          <w:p w:rsidR="00000000" w:rsidP="003B12DE">
            <w:pPr>
              <w:pStyle w:val="ListBullet"/>
              <w:rPr>
                <w:lang w:val="en-NZ"/>
              </w:rPr>
            </w:pPr>
            <w:r w:rsidRPr="003B12DE">
              <w:t>use of margin notes and tables of ame</w:t>
            </w:r>
            <w:r w:rsidRPr="003B12DE">
              <w:t>ndments.</w:t>
            </w:r>
          </w:p>
        </w:tc>
      </w:tr>
      <w:tr w:rsidTr="003B12DE">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Appropriate people</w:t>
            </w:r>
            <w:r w:rsidRPr="003B12D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agency or organisation principal</w:t>
            </w:r>
          </w:p>
          <w:p w:rsidR="00000000" w:rsidRPr="003B12DE" w:rsidP="003B12DE">
            <w:pPr>
              <w:pStyle w:val="ListBullet"/>
            </w:pPr>
            <w:r w:rsidRPr="003B12DE">
              <w:t>authorised representatives</w:t>
            </w:r>
          </w:p>
          <w:p w:rsidR="00000000" w:rsidRPr="003B12DE" w:rsidP="003B12DE">
            <w:pPr>
              <w:pStyle w:val="ListBullet"/>
            </w:pPr>
            <w:r w:rsidRPr="003B12DE">
              <w:t>bookkeepers, accountants and auditors</w:t>
            </w:r>
          </w:p>
          <w:p w:rsidR="00000000" w:rsidRPr="003B12DE" w:rsidP="003B12DE">
            <w:pPr>
              <w:pStyle w:val="ListBullet"/>
            </w:pPr>
            <w:r w:rsidRPr="003B12DE">
              <w:t>licensed real estate agents</w:t>
            </w:r>
          </w:p>
          <w:p w:rsidR="00000000" w:rsidRPr="003B12DE" w:rsidP="003B12DE">
            <w:pPr>
              <w:pStyle w:val="ListBullet"/>
            </w:pPr>
            <w:r w:rsidRPr="003B12DE">
              <w:t>property managers</w:t>
            </w:r>
          </w:p>
          <w:p w:rsidR="00000000" w:rsidP="003B12DE">
            <w:pPr>
              <w:pStyle w:val="ListBullet"/>
              <w:rPr>
                <w:lang w:val="en-NZ"/>
              </w:rPr>
            </w:pPr>
            <w:r w:rsidRPr="003B12DE">
              <w:t>sales people.</w:t>
            </w:r>
          </w:p>
        </w:tc>
      </w:tr>
      <w:tr w:rsidTr="003B12DE">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Industry codes</w:t>
            </w:r>
            <w:r w:rsidRPr="003B12DE">
              <w:t xml:space="preserve"> </w:t>
            </w:r>
            <w:r w:rsidRPr="003B12DE">
              <w:rPr>
                <w:rStyle w:val="BoldandItalics"/>
              </w:rPr>
              <w:t>of conduct</w:t>
            </w:r>
            <w:r w:rsidRPr="003B12DE">
              <w:t xml:space="preserve"> must address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ethical behaviour</w:t>
            </w:r>
          </w:p>
          <w:p w:rsidR="00000000" w:rsidRPr="003B12DE" w:rsidP="003B12DE">
            <w:pPr>
              <w:pStyle w:val="ListBullet"/>
            </w:pPr>
            <w:r w:rsidRPr="003B12DE">
              <w:t>general business operations</w:t>
            </w:r>
          </w:p>
          <w:p w:rsidR="00000000" w:rsidRPr="003B12DE" w:rsidP="003B12DE">
            <w:pPr>
              <w:pStyle w:val="ListBullet"/>
            </w:pPr>
            <w:r w:rsidRPr="003B12DE">
              <w:t>property sales and management</w:t>
            </w:r>
          </w:p>
          <w:p w:rsidR="00000000" w:rsidP="003B12DE">
            <w:pPr>
              <w:pStyle w:val="ListBullet"/>
              <w:rPr>
                <w:lang w:val="en-NZ"/>
              </w:rPr>
            </w:pPr>
            <w:r w:rsidRPr="003B12DE">
              <w:t>strata community management.</w:t>
            </w:r>
          </w:p>
        </w:tc>
      </w:tr>
      <w:tr w:rsidTr="003B12DE">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3B12DE">
            <w:pPr>
              <w:pStyle w:val="BodyText"/>
              <w:rPr>
                <w:lang w:val="en-NZ"/>
              </w:rPr>
            </w:pPr>
            <w:r w:rsidRPr="003B12DE">
              <w:rPr>
                <w:rStyle w:val="BoldandItalics"/>
              </w:rPr>
              <w:t>Records</w:t>
            </w:r>
            <w:r w:rsidRPr="003B12DE">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B12DE" w:rsidP="003B12DE">
            <w:pPr>
              <w:pStyle w:val="ListBullet"/>
            </w:pPr>
            <w:r w:rsidRPr="003B12DE">
              <w:t>agency administration</w:t>
            </w:r>
          </w:p>
          <w:p w:rsidR="00000000" w:rsidRPr="003B12DE" w:rsidP="003B12DE">
            <w:pPr>
              <w:pStyle w:val="ListBullet"/>
            </w:pPr>
            <w:r w:rsidRPr="003B12DE">
              <w:t>property management</w:t>
            </w:r>
          </w:p>
          <w:p w:rsidR="00000000" w:rsidRPr="003B12DE" w:rsidP="003B12DE">
            <w:pPr>
              <w:pStyle w:val="ListBullet"/>
            </w:pPr>
            <w:r w:rsidRPr="003B12DE">
              <w:t>property sales</w:t>
            </w:r>
          </w:p>
          <w:p w:rsidR="00000000" w:rsidRPr="003B12DE" w:rsidP="003B12DE">
            <w:pPr>
              <w:pStyle w:val="ListBullet"/>
            </w:pPr>
            <w:r w:rsidRPr="003B12DE">
              <w:t>strata scheme administration.</w:t>
            </w:r>
          </w:p>
        </w:tc>
      </w:tr>
    </w:tbl>
    <w:p w:rsidR="00000000" w:rsidRPr="003B12DE" w:rsidP="003B12DE">
      <w:pPr>
        <w:pStyle w:val="BodyText"/>
      </w:pPr>
    </w:p>
    <w:p w:rsidR="00000000" w:rsidRPr="003B12DE" w:rsidP="003B12DE">
      <w:pPr>
        <w:pStyle w:val="AllowPageBreak"/>
      </w:pPr>
    </w:p>
    <w:p w:rsidR="00000000" w:rsidRPr="003B12DE" w:rsidP="003B12DE">
      <w:pPr>
        <w:pStyle w:val="Heading1"/>
      </w:pPr>
      <w:bookmarkStart w:id="9" w:name="O_864388"/>
      <w:bookmarkEnd w:id="9"/>
      <w:r w:rsidRPr="003B12DE">
        <w:t>Unit Mapping Information</w:t>
      </w:r>
    </w:p>
    <w:p w:rsidR="00000000" w:rsidRPr="003B12DE" w:rsidP="00AB57BB">
      <w:pPr>
        <w:pStyle w:val="BodyText"/>
      </w:pPr>
      <w:r w:rsidRPr="003B12DE">
        <w:t>CPPDSM4009B Interpret legislation to complete agency work</w:t>
      </w:r>
    </w:p>
    <w:p w:rsidR="00000000" w:rsidRPr="003B12DE" w:rsidP="003B12DE">
      <w:pPr>
        <w:pStyle w:val="Heading1"/>
      </w:pPr>
      <w:bookmarkStart w:id="10" w:name="O_864381"/>
      <w:bookmarkEnd w:id="10"/>
      <w:r w:rsidRPr="003B12DE">
        <w:t>Links</w:t>
      </w:r>
    </w:p>
    <w:p w:rsidR="00000000" w:rsidRPr="003B12DE" w:rsidP="00AB57BB">
      <w:pPr>
        <w:pStyle w:val="BodyText"/>
      </w:pPr>
      <w:r w:rsidRPr="003B12D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B641E">
        <w:rPr>
          <w:rStyle w:val="Hyperlink"/>
        </w:rPr>
        <w:t>https://vetnet.gov.au/Pages/TrainingDocs.aspx?q=6f3f9672-30e8-4835-b348-205dfcf13d9b</w:t>
      </w:r>
      <w:r>
        <w:fldChar w:fldCharType="end"/>
      </w:r>
    </w:p>
    <w:p w:rsidR="00000000" w:rsidRPr="003B12DE" w:rsidP="00AB57BB">
      <w:pPr>
        <w:pStyle w:val="BodyText"/>
        <w:sectPr w:rsidSect="003B12DE">
          <w:headerReference w:type="default" r:id="rId10"/>
          <w:footerReference w:type="default" r:id="rId11"/>
          <w:pgSz w:w="11908" w:h="16833"/>
          <w:pgMar w:top="1702" w:right="1418" w:bottom="1702" w:left="1418" w:header="992" w:footer="992" w:gutter="0"/>
          <w:cols w:space="720"/>
          <w:noEndnote/>
          <w:docGrid w:linePitch="299"/>
        </w:sectPr>
      </w:pPr>
    </w:p>
    <w:p w:rsidR="00000000" w:rsidRPr="003B12DE" w:rsidP="003B12DE">
      <w:pPr>
        <w:pStyle w:val="SuperHeading"/>
      </w:pPr>
      <w:r w:rsidRPr="003B12DE">
        <w:t>Assessment Requirements for CPPDSM4009 Interpret legislation to</w:t>
      </w:r>
      <w:r w:rsidRPr="003B12DE">
        <w:t xml:space="preserve"> complete work in the property industry</w:t>
      </w:r>
    </w:p>
    <w:p w:rsidR="00000000" w:rsidRPr="003B12DE" w:rsidP="003B12DE">
      <w:pPr>
        <w:pStyle w:val="Heading1"/>
      </w:pPr>
      <w:bookmarkStart w:id="11" w:name="O_864383"/>
      <w:bookmarkEnd w:id="11"/>
      <w:r w:rsidRPr="003B12DE">
        <w:t>Modification History</w:t>
      </w:r>
    </w:p>
    <w:p w:rsidR="00000000" w:rsidRPr="003B12DE" w:rsidP="00AB57BB">
      <w:pPr>
        <w:pStyle w:val="BodyText"/>
      </w:pPr>
      <w:r w:rsidRPr="003B12DE">
        <w:t>Not applicable.</w:t>
      </w:r>
    </w:p>
    <w:p w:rsidR="00000000" w:rsidRPr="003B12DE" w:rsidP="003B12DE">
      <w:pPr>
        <w:pStyle w:val="Heading1"/>
      </w:pPr>
      <w:bookmarkStart w:id="12" w:name="O_864386"/>
      <w:bookmarkEnd w:id="12"/>
      <w:r w:rsidRPr="003B12DE">
        <w:t>Performance Evidence</w:t>
      </w:r>
    </w:p>
    <w:p w:rsidR="00000000" w:rsidRPr="003B12DE" w:rsidP="00AB57BB">
      <w:pPr>
        <w:pStyle w:val="BodyText"/>
      </w:pPr>
      <w:r w:rsidRPr="003B12DE">
        <w:t xml:space="preserve">A person demonstrating competency in this unit must satisfy all of the elements, performance criteria, foundation skills and </w:t>
      </w:r>
      <w:r w:rsidRPr="003B12DE">
        <w:t>range of conditions of this unit.</w:t>
      </w:r>
    </w:p>
    <w:p w:rsidR="00000000" w:rsidRPr="003B12DE" w:rsidP="00AB57BB">
      <w:pPr>
        <w:pStyle w:val="BodyText"/>
      </w:pPr>
      <w:r w:rsidRPr="003B12DE">
        <w:t>The person must also source and interpret legislation affecting operations in the property industry.</w:t>
      </w:r>
    </w:p>
    <w:p w:rsidR="00000000" w:rsidRPr="003B12DE" w:rsidP="00AB57BB">
      <w:pPr>
        <w:pStyle w:val="BodyText"/>
      </w:pPr>
      <w:r w:rsidRPr="003B12DE">
        <w:t xml:space="preserve">The person must demonstrate this performance by sourcing and documenting the latest legislative requirements for three </w:t>
      </w:r>
      <w:r w:rsidRPr="003B12DE">
        <w:t>aspects of property operations in either the real estate, stock and station agency, or strata community management sector; and communicating this information in an accessible manner to those engaged in agency or organisation operations.</w:t>
      </w:r>
    </w:p>
    <w:p w:rsidR="00000000" w:rsidRPr="003B12DE" w:rsidP="00AB57BB">
      <w:pPr>
        <w:pStyle w:val="BodyText"/>
      </w:pPr>
      <w:r w:rsidRPr="003B12DE">
        <w:t>In doing the above</w:t>
      </w:r>
      <w:r w:rsidRPr="003B12DE">
        <w:t>, the person must:</w:t>
      </w:r>
    </w:p>
    <w:p w:rsidR="00000000" w:rsidRPr="003B12DE" w:rsidP="003B12DE">
      <w:pPr>
        <w:pStyle w:val="ListBullet"/>
      </w:pPr>
      <w:r w:rsidRPr="003B12DE">
        <w:t>apply rules and techniques to interpret legislative provisions affecting operations in the property industry</w:t>
      </w:r>
    </w:p>
    <w:p w:rsidR="00000000" w:rsidRPr="003B12DE" w:rsidP="003B12DE">
      <w:pPr>
        <w:pStyle w:val="ListBullet"/>
      </w:pPr>
      <w:r w:rsidRPr="003B12DE">
        <w:t>apply techniques to track amendments to legislation in a timely manner</w:t>
      </w:r>
    </w:p>
    <w:p w:rsidR="00000000" w:rsidRPr="003B12DE" w:rsidP="003B12DE">
      <w:pPr>
        <w:pStyle w:val="ListBullet"/>
      </w:pPr>
      <w:r w:rsidRPr="003B12DE">
        <w:t>apply strategies to communicate legislative requirements and amendments to appropriate people in the agency or organisation in a timely manner</w:t>
      </w:r>
    </w:p>
    <w:p w:rsidR="00000000" w:rsidRPr="003B12DE" w:rsidP="003B12DE">
      <w:pPr>
        <w:pStyle w:val="ListBullet"/>
      </w:pPr>
      <w:r w:rsidRPr="003B12DE">
        <w:t>identify changes to legislation and industry codes of conduct affecting agency or organisation operations</w:t>
      </w:r>
    </w:p>
    <w:p w:rsidR="00000000" w:rsidRPr="003B12DE" w:rsidP="003B12DE">
      <w:pPr>
        <w:pStyle w:val="ListBullet"/>
      </w:pPr>
      <w:r w:rsidRPr="003B12DE">
        <w:t>apply g</w:t>
      </w:r>
      <w:r w:rsidRPr="003B12DE">
        <w:t>eneral principles of legislation, regulations and industry codes of conduct affecting operations in the property industry</w:t>
      </w:r>
    </w:p>
    <w:p w:rsidR="00000000" w:rsidRPr="003B12DE" w:rsidP="003B12DE">
      <w:pPr>
        <w:pStyle w:val="ListBullet"/>
      </w:pPr>
      <w:r w:rsidRPr="003B12DE">
        <w:t>maintain accurate and up-to-date records of legislation and industry codes of conduct.</w:t>
      </w:r>
    </w:p>
    <w:p w:rsidR="00000000" w:rsidRPr="003B12DE" w:rsidP="003B12DE">
      <w:pPr>
        <w:pStyle w:val="AllowPageBreak"/>
      </w:pPr>
    </w:p>
    <w:p w:rsidR="00000000" w:rsidRPr="003B12DE" w:rsidP="003B12DE">
      <w:pPr>
        <w:pStyle w:val="Heading1"/>
      </w:pPr>
      <w:bookmarkStart w:id="13" w:name="O_864385"/>
      <w:bookmarkEnd w:id="13"/>
      <w:r w:rsidRPr="003B12DE">
        <w:t>Knowledge Evidence</w:t>
      </w:r>
    </w:p>
    <w:p w:rsidR="00000000" w:rsidRPr="003B12DE" w:rsidP="00AB57BB">
      <w:pPr>
        <w:pStyle w:val="BodyText"/>
      </w:pPr>
      <w:r w:rsidRPr="003B12DE">
        <w:t>A person de</w:t>
      </w:r>
      <w:r w:rsidRPr="003B12DE">
        <w:t>monstrating competency in this unit must demonstrate knowledge of:</w:t>
      </w:r>
    </w:p>
    <w:p w:rsidR="00000000" w:rsidRPr="003B12DE" w:rsidP="003B12DE">
      <w:pPr>
        <w:pStyle w:val="ListBullet"/>
      </w:pPr>
      <w:r w:rsidRPr="003B12DE">
        <w:t>codes of conduct relating to property industry operations</w:t>
      </w:r>
    </w:p>
    <w:p w:rsidR="00000000" w:rsidRPr="003B12DE" w:rsidP="003B12DE">
      <w:pPr>
        <w:pStyle w:val="ListBullet"/>
      </w:pPr>
      <w:r w:rsidRPr="003B12DE">
        <w:t>common problems associated with interpreting legislation</w:t>
      </w:r>
    </w:p>
    <w:p w:rsidR="00000000" w:rsidRPr="003B12DE" w:rsidP="003B12DE">
      <w:pPr>
        <w:pStyle w:val="ListBullet"/>
      </w:pPr>
      <w:r w:rsidRPr="003B12DE">
        <w:t>principles and purpose of legislation</w:t>
      </w:r>
    </w:p>
    <w:p w:rsidR="00000000" w:rsidRPr="003B12DE" w:rsidP="003B12DE">
      <w:pPr>
        <w:pStyle w:val="ListBullet"/>
      </w:pPr>
      <w:r w:rsidRPr="003B12DE">
        <w:t>key requirements of federal, and st</w:t>
      </w:r>
      <w:r w:rsidRPr="003B12DE">
        <w:t>ate or territory legislation and local government regulations relating to the property industry:</w:t>
      </w:r>
    </w:p>
    <w:p w:rsidR="00000000" w:rsidRPr="003B12DE" w:rsidP="003B12DE">
      <w:pPr>
        <w:pStyle w:val="ListBullet2"/>
      </w:pPr>
      <w:r w:rsidRPr="003B12DE">
        <w:t>anti-discrimination and equal employment opportunity</w:t>
      </w:r>
    </w:p>
    <w:p w:rsidR="00000000" w:rsidRPr="003B12DE" w:rsidP="003B12DE">
      <w:pPr>
        <w:pStyle w:val="ListBullet2"/>
      </w:pPr>
      <w:r w:rsidRPr="003B12DE">
        <w:t>consumer protection and trade practices</w:t>
      </w:r>
    </w:p>
    <w:p w:rsidR="00000000" w:rsidRPr="003B12DE" w:rsidP="003B12DE">
      <w:pPr>
        <w:pStyle w:val="ListBullet2"/>
      </w:pPr>
      <w:r w:rsidRPr="003B12DE">
        <w:t>employment and industrial relations</w:t>
      </w:r>
    </w:p>
    <w:p w:rsidR="00000000" w:rsidRPr="003B12DE" w:rsidP="003B12DE">
      <w:pPr>
        <w:pStyle w:val="ListBullet2"/>
      </w:pPr>
      <w:r w:rsidRPr="003B12DE">
        <w:t>environment and sustainability</w:t>
      </w:r>
    </w:p>
    <w:p w:rsidR="00000000" w:rsidRPr="003B12DE" w:rsidP="003B12DE">
      <w:pPr>
        <w:pStyle w:val="ListBullet2"/>
      </w:pPr>
      <w:r w:rsidRPr="003B12DE">
        <w:t>financial services</w:t>
      </w:r>
    </w:p>
    <w:p w:rsidR="00000000" w:rsidRPr="003B12DE" w:rsidP="003B12DE">
      <w:pPr>
        <w:pStyle w:val="ListBullet2"/>
      </w:pPr>
      <w:r w:rsidRPr="003B12DE">
        <w:t>leases</w:t>
      </w:r>
    </w:p>
    <w:p w:rsidR="00000000" w:rsidRPr="003B12DE" w:rsidP="003B12DE">
      <w:pPr>
        <w:pStyle w:val="ListBullet2"/>
      </w:pPr>
      <w:r w:rsidRPr="003B12DE">
        <w:t>privacy</w:t>
      </w:r>
    </w:p>
    <w:p w:rsidR="00000000" w:rsidRPr="003B12DE" w:rsidP="003B12DE">
      <w:pPr>
        <w:pStyle w:val="ListBullet2"/>
      </w:pPr>
      <w:r w:rsidRPr="003B12DE">
        <w:t>property sales and management</w:t>
      </w:r>
    </w:p>
    <w:p w:rsidR="00000000" w:rsidRPr="003B12DE" w:rsidP="003B12DE">
      <w:pPr>
        <w:pStyle w:val="ListBullet2"/>
      </w:pPr>
      <w:r w:rsidRPr="003B12DE">
        <w:t>strata community management</w:t>
      </w:r>
    </w:p>
    <w:p w:rsidR="00000000" w:rsidRPr="003B12DE" w:rsidP="003B12DE">
      <w:pPr>
        <w:pStyle w:val="ListBullet2"/>
      </w:pPr>
      <w:r w:rsidRPr="003B12DE">
        <w:t>work health and safety (WHS).</w:t>
      </w:r>
    </w:p>
    <w:p w:rsidR="00000000" w:rsidRPr="003B12DE" w:rsidP="003B12DE">
      <w:pPr>
        <w:pStyle w:val="AllowPageBreak"/>
      </w:pPr>
    </w:p>
    <w:p w:rsidR="00000000" w:rsidRPr="003B12DE" w:rsidP="003B12DE">
      <w:pPr>
        <w:pStyle w:val="Heading1"/>
      </w:pPr>
      <w:bookmarkStart w:id="14" w:name="O_864384"/>
      <w:bookmarkEnd w:id="14"/>
      <w:r w:rsidRPr="003B12DE">
        <w:t>Assessment Conditions</w:t>
      </w:r>
    </w:p>
    <w:p w:rsidR="00000000" w:rsidRPr="003B12DE" w:rsidP="00AB57BB">
      <w:pPr>
        <w:pStyle w:val="BodyText"/>
      </w:pPr>
      <w:r w:rsidRPr="003B12DE">
        <w:t>The following must be present and available to learners during a</w:t>
      </w:r>
      <w:r w:rsidRPr="003B12DE">
        <w:t>ssessment activities:</w:t>
      </w:r>
    </w:p>
    <w:p w:rsidR="00000000" w:rsidRPr="003B12DE" w:rsidP="003B12DE">
      <w:pPr>
        <w:pStyle w:val="ListBullet"/>
      </w:pPr>
      <w:r w:rsidRPr="003B12DE">
        <w:t>equipment:</w:t>
      </w:r>
    </w:p>
    <w:p w:rsidR="00000000" w:rsidRPr="003B12DE" w:rsidP="003B12DE">
      <w:pPr>
        <w:pStyle w:val="ListBullet2"/>
      </w:pPr>
      <w:r w:rsidRPr="003B12DE">
        <w:t>computer system with internet, email, printing facilities, and online access to relevant legislative databases</w:t>
      </w:r>
    </w:p>
    <w:p w:rsidR="00000000" w:rsidRPr="003B12DE" w:rsidP="003B12DE">
      <w:pPr>
        <w:pStyle w:val="ListBullet"/>
      </w:pPr>
      <w:r w:rsidRPr="003B12DE">
        <w:t>specifications:</w:t>
      </w:r>
    </w:p>
    <w:p w:rsidR="00000000" w:rsidRPr="003B12DE" w:rsidP="003B12DE">
      <w:pPr>
        <w:pStyle w:val="ListBullet2"/>
      </w:pPr>
      <w:r w:rsidRPr="003B12DE">
        <w:t>agency or organisation policies and procedures for storing and retrieving documents</w:t>
      </w:r>
    </w:p>
    <w:p w:rsidR="00000000" w:rsidRPr="003B12DE" w:rsidP="003B12DE">
      <w:pPr>
        <w:pStyle w:val="ListBullet2"/>
      </w:pPr>
      <w:r w:rsidRPr="003B12DE">
        <w:t>guidelines for interpreting property legislation and regulations, and tracking amendments to legislation</w:t>
      </w:r>
    </w:p>
    <w:p w:rsidR="00000000" w:rsidRPr="003B12DE" w:rsidP="003B12DE">
      <w:pPr>
        <w:pStyle w:val="ListBullet2"/>
      </w:pPr>
      <w:r w:rsidRPr="003B12DE">
        <w:t>legislation, regulations and codes of conduct relevant to property industry operations</w:t>
      </w:r>
    </w:p>
    <w:p w:rsidR="00000000" w:rsidRPr="003B12DE" w:rsidP="003B12DE">
      <w:pPr>
        <w:pStyle w:val="ListBullet"/>
      </w:pPr>
      <w:r w:rsidRPr="003B12DE">
        <w:t>relationship with team members and supervisor:</w:t>
      </w:r>
    </w:p>
    <w:p w:rsidR="00000000" w:rsidRPr="003B12DE" w:rsidP="003B12DE">
      <w:pPr>
        <w:pStyle w:val="ListBullet2"/>
      </w:pPr>
      <w:r w:rsidRPr="003B12DE">
        <w:t>member of a wor</w:t>
      </w:r>
      <w:r w:rsidRPr="003B12DE">
        <w:t>k team in a property industry context.</w:t>
      </w:r>
    </w:p>
    <w:p w:rsidR="00000000" w:rsidRPr="003B12DE" w:rsidP="003B12DE">
      <w:pPr>
        <w:pStyle w:val="BodyText"/>
      </w:pPr>
    </w:p>
    <w:p w:rsidR="00000000" w:rsidRPr="003B12DE" w:rsidP="00AB57BB">
      <w:pPr>
        <w:pStyle w:val="Heading3"/>
      </w:pPr>
      <w:r w:rsidRPr="003B12DE">
        <w:rPr>
          <w:rStyle w:val="SpecialBold"/>
        </w:rPr>
        <w:t>Assessor requirements</w:t>
      </w:r>
    </w:p>
    <w:p w:rsidR="00000000" w:rsidRPr="003B12DE" w:rsidP="00AB57BB">
      <w:pPr>
        <w:pStyle w:val="BodyText"/>
      </w:pPr>
      <w:r w:rsidRPr="003B12DE">
        <w:t xml:space="preserve">As a minimum, assessors must satisfy the assessor requirements in the </w:t>
      </w:r>
      <w:r w:rsidRPr="003B12DE">
        <w:rPr>
          <w:rStyle w:val="Emphasis"/>
        </w:rPr>
        <w:t>Standards for Registered Training Organisations</w:t>
      </w:r>
      <w:r w:rsidRPr="003B12DE">
        <w:t xml:space="preserve"> (RTOs) current at the time of assessment.</w:t>
      </w:r>
    </w:p>
    <w:p w:rsidR="00000000" w:rsidRPr="003B12DE" w:rsidP="003B12DE">
      <w:pPr>
        <w:pStyle w:val="Heading1"/>
      </w:pPr>
      <w:bookmarkStart w:id="15" w:name="O_864382"/>
      <w:bookmarkEnd w:id="15"/>
      <w:r w:rsidRPr="003B12DE">
        <w:t>Links</w:t>
      </w:r>
    </w:p>
    <w:p w:rsidR="00000000" w:rsidRPr="003B12DE" w:rsidP="00AB57BB">
      <w:pPr>
        <w:pStyle w:val="BodyText"/>
      </w:pPr>
      <w:r w:rsidRPr="003B12D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B641E">
        <w:rPr>
          <w:rStyle w:val="Hyperlink"/>
        </w:rPr>
        <w:t>https://vetnet.gov.au/Pages/TrainingDocs.aspx?q=6f3f9672-30e8-4835-b348-205dfcf13d9b</w:t>
      </w:r>
      <w:r>
        <w:fldChar w:fldCharType="end"/>
      </w:r>
    </w:p>
    <w:p w:rsidR="00000000" w:rsidRPr="003B12DE" w:rsidP="003B12DE"/>
    <w:sectPr w:rsidSect="003B12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DE" w:rsidRPr="00AB57BB" w:rsidP="00AB5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BB" w:rsidP="003B1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B57BB" w:rsidP="003B12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B57BB" w:rsidP="003B12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DE" w:rsidP="003B12DE">
    <w:pPr>
      <w:pStyle w:val="Footer"/>
      <w:framePr w:wrap="around"/>
    </w:pPr>
    <w:r>
      <w:fldChar w:fldCharType="begin"/>
    </w:r>
    <w:r>
      <w:instrText xml:space="preserve"> DOCPROPERTY  Subject  \* MERGEFORMAT </w:instrText>
    </w:r>
    <w:r>
      <w:fldChar w:fldCharType="separate"/>
    </w:r>
    <w:r w:rsidR="00AB57BB">
      <w:t>Approved</w:t>
    </w:r>
    <w:r w:rsidR="00AB57BB">
      <w:fldChar w:fldCharType="end"/>
    </w:r>
    <w:r>
      <w:tab/>
      <w:t xml:space="preserve">Page </w:t>
    </w:r>
    <w:r>
      <w:fldChar w:fldCharType="begin"/>
    </w:r>
    <w:r>
      <w:instrText xml:space="preserve"> PAGE  \* Arabic  \* MERGEFORMAT </w:instrText>
    </w:r>
    <w:r>
      <w:fldChar w:fldCharType="separate"/>
    </w:r>
    <w:r w:rsidR="00AB57B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7BB">
      <w:rPr>
        <w:noProof/>
      </w:rPr>
      <w:t>7</w:t>
    </w:r>
    <w:r>
      <w:rPr>
        <w:noProof/>
      </w:rPr>
      <w:fldChar w:fldCharType="end"/>
    </w:r>
  </w:p>
  <w:p w:rsidR="003B12DE" w:rsidP="003B12DE">
    <w:pPr>
      <w:pStyle w:val="Footer"/>
      <w:framePr w:wrap="around"/>
    </w:pPr>
    <w:r>
      <w:t xml:space="preserve">© Commonwealth of Australia, </w:t>
    </w:r>
    <w:r>
      <w:fldChar w:fldCharType="begin"/>
    </w:r>
    <w:r>
      <w:instrText xml:space="preserve"> DATE  \@ "yyyy"  \* MERGEFORMAT </w:instrText>
    </w:r>
    <w:r>
      <w:fldChar w:fldCharType="separate"/>
    </w:r>
    <w:r w:rsidR="00AB57BB">
      <w:rPr>
        <w:noProof/>
      </w:rPr>
      <w:t>2025</w:t>
    </w:r>
    <w:r>
      <w:fldChar w:fldCharType="end"/>
    </w:r>
    <w:r>
      <w:tab/>
    </w:r>
    <w:r>
      <w:fldChar w:fldCharType="begin"/>
    </w:r>
    <w:r>
      <w:instrText xml:space="preserve"> DOCPROPERTY  Author  \* MERGEFORMAT </w:instrText>
    </w:r>
    <w:r>
      <w:fldChar w:fldCharType="separate"/>
    </w:r>
    <w:r w:rsidR="00AB57BB">
      <w:t>BuildSkills Australia</w:t>
    </w:r>
    <w:r w:rsidR="00AB57BB">
      <w:fldChar w:fldCharType="end"/>
    </w:r>
  </w:p>
  <w:p w:rsidR="003B12DE" w:rsidP="003B1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2DE" w:rsidRPr="00AB57BB" w:rsidP="00AB57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BB" w:rsidRPr="002D2AF8" w:rsidP="003B12DE">
    <w:pPr>
      <w:pStyle w:val="Header"/>
      <w:framePr w:wrap="around"/>
    </w:pPr>
    <w:r>
      <w:fldChar w:fldCharType="begin"/>
    </w:r>
    <w:r>
      <w:instrText xml:space="preserve"> TITLE   \* MERGEFORMAT </w:instrText>
    </w:r>
    <w:r>
      <w:fldChar w:fldCharType="separate"/>
    </w:r>
    <w:r>
      <w:t>CPPDSM4009 Interpret legislation to complete work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57BB" w:rsidP="003B12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DE" w:rsidRPr="002D2AF8" w:rsidP="003B12DE">
    <w:pPr>
      <w:pStyle w:val="Header"/>
      <w:framePr w:wrap="around"/>
    </w:pPr>
    <w:r>
      <w:fldChar w:fldCharType="begin"/>
    </w:r>
    <w:r>
      <w:instrText xml:space="preserve"> TITLE   \* MERGEFORMAT </w:instrText>
    </w:r>
    <w:r>
      <w:fldChar w:fldCharType="separate"/>
    </w:r>
    <w:r w:rsidR="00AB57BB">
      <w:t>CPPDSM4009 Interpret legislation to complete work in the property industry</w:t>
    </w:r>
    <w:r w:rsidR="00AB57BB">
      <w:fldChar w:fldCharType="end"/>
    </w:r>
    <w:r>
      <w:tab/>
      <w:t xml:space="preserve">Date this document was generated: </w:t>
    </w:r>
    <w:r>
      <w:fldChar w:fldCharType="begin"/>
    </w:r>
    <w:r>
      <w:instrText xml:space="preserve"> CREATEDATE  \@ "d MMMM yyyy"  \* MERGEFORMAT </w:instrText>
    </w:r>
    <w:r>
      <w:fldChar w:fldCharType="separate"/>
    </w:r>
    <w:r w:rsidR="00AB57BB">
      <w:rPr>
        <w:noProof/>
      </w:rPr>
      <w:t>2 March 2025</w:t>
    </w:r>
    <w:r>
      <w:fldChar w:fldCharType="end"/>
    </w:r>
  </w:p>
  <w:p w:rsidR="003B12DE" w:rsidP="003B1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E07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2D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B83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2DE"/>
    <w:pPr>
      <w:spacing w:before="360" w:after="60"/>
      <w:outlineLvl w:val="0"/>
    </w:pPr>
    <w:rPr>
      <w:sz w:val="32"/>
    </w:rPr>
  </w:style>
  <w:style w:type="paragraph" w:styleId="Heading2">
    <w:name w:val="heading 2"/>
    <w:basedOn w:val="HeadingBase"/>
    <w:next w:val="BodyText"/>
    <w:link w:val="Heading2Char"/>
    <w:qFormat/>
    <w:rsid w:val="003B12DE"/>
    <w:pPr>
      <w:keepLines/>
      <w:spacing w:before="240" w:after="120"/>
      <w:outlineLvl w:val="1"/>
    </w:pPr>
    <w:rPr>
      <w:sz w:val="28"/>
      <w:szCs w:val="40"/>
    </w:rPr>
  </w:style>
  <w:style w:type="paragraph" w:styleId="Heading3">
    <w:name w:val="heading 3"/>
    <w:basedOn w:val="HeadingBase"/>
    <w:next w:val="BodyText"/>
    <w:link w:val="Heading3Char"/>
    <w:qFormat/>
    <w:rsid w:val="003B12DE"/>
    <w:pPr>
      <w:spacing w:before="180" w:after="120"/>
      <w:outlineLvl w:val="2"/>
    </w:pPr>
    <w:rPr>
      <w:spacing w:val="-10"/>
      <w:kern w:val="32"/>
    </w:rPr>
  </w:style>
  <w:style w:type="paragraph" w:styleId="Heading4">
    <w:name w:val="heading 4"/>
    <w:basedOn w:val="HeadingBase"/>
    <w:next w:val="BodyText"/>
    <w:link w:val="Heading4Char"/>
    <w:qFormat/>
    <w:rsid w:val="003B12DE"/>
    <w:pPr>
      <w:spacing w:before="160" w:after="120"/>
      <w:outlineLvl w:val="3"/>
    </w:pPr>
    <w:rPr>
      <w:sz w:val="22"/>
    </w:rPr>
  </w:style>
  <w:style w:type="paragraph" w:styleId="Heading5">
    <w:name w:val="heading 5"/>
    <w:basedOn w:val="HeadingBase"/>
    <w:next w:val="Normal"/>
    <w:link w:val="Heading5Char"/>
    <w:qFormat/>
    <w:rsid w:val="003B12DE"/>
    <w:pPr>
      <w:spacing w:before="80"/>
      <w:outlineLvl w:val="4"/>
    </w:pPr>
    <w:rPr>
      <w:color w:val="918585"/>
      <w:sz w:val="20"/>
    </w:rPr>
  </w:style>
  <w:style w:type="paragraph" w:styleId="Heading6">
    <w:name w:val="heading 6"/>
    <w:basedOn w:val="HeadingBase"/>
    <w:next w:val="Normal"/>
    <w:link w:val="Heading6Char"/>
    <w:qFormat/>
    <w:rsid w:val="003B12DE"/>
    <w:pPr>
      <w:spacing w:before="60"/>
      <w:outlineLvl w:val="5"/>
    </w:pPr>
    <w:rPr>
      <w:color w:val="918585"/>
      <w:sz w:val="20"/>
    </w:rPr>
  </w:style>
  <w:style w:type="paragraph" w:styleId="Heading7">
    <w:name w:val="heading 7"/>
    <w:basedOn w:val="Normal"/>
    <w:next w:val="Normal"/>
    <w:link w:val="Heading7Char"/>
    <w:qFormat/>
    <w:rsid w:val="003B12DE"/>
    <w:pPr>
      <w:ind w:left="720"/>
      <w:outlineLvl w:val="6"/>
    </w:pPr>
    <w:rPr>
      <w:i/>
    </w:rPr>
  </w:style>
  <w:style w:type="paragraph" w:styleId="Heading8">
    <w:name w:val="heading 8"/>
    <w:basedOn w:val="Normal"/>
    <w:next w:val="Normal"/>
    <w:link w:val="Heading8Char"/>
    <w:qFormat/>
    <w:rsid w:val="003B12DE"/>
    <w:pPr>
      <w:ind w:left="720"/>
      <w:outlineLvl w:val="7"/>
    </w:pPr>
    <w:rPr>
      <w:i/>
    </w:rPr>
  </w:style>
  <w:style w:type="paragraph" w:styleId="Heading9">
    <w:name w:val="heading 9"/>
    <w:basedOn w:val="Normal"/>
    <w:next w:val="Normal"/>
    <w:link w:val="Heading9Char"/>
    <w:qFormat/>
    <w:rsid w:val="003B12DE"/>
    <w:pPr>
      <w:ind w:left="720"/>
      <w:outlineLvl w:val="8"/>
    </w:pPr>
    <w:rPr>
      <w:i/>
    </w:rPr>
  </w:style>
  <w:style w:type="character" w:default="1" w:styleId="DefaultParagraphFont">
    <w:name w:val="Default Paragraph Font"/>
    <w:uiPriority w:val="1"/>
    <w:unhideWhenUsed/>
    <w:rsid w:val="003B1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2DE"/>
  </w:style>
  <w:style w:type="character" w:customStyle="1" w:styleId="Heading1Char">
    <w:name w:val="Heading 1 Char"/>
    <w:basedOn w:val="DefaultParagraphFont"/>
    <w:link w:val="Heading1"/>
    <w:rsid w:val="003B12DE"/>
    <w:rPr>
      <w:rFonts w:ascii="Times New Roman" w:eastAsia="Times New Roman" w:hAnsi="Times New Roman" w:cs="Times New Roman"/>
      <w:b/>
      <w:sz w:val="32"/>
      <w:szCs w:val="20"/>
      <w:lang w:eastAsia="en-US"/>
    </w:rPr>
  </w:style>
  <w:style w:type="paragraph" w:styleId="BodyText">
    <w:name w:val="Body Text"/>
    <w:basedOn w:val="Normal"/>
    <w:link w:val="BodyTextChar"/>
    <w:rsid w:val="003B12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2DE"/>
    <w:rPr>
      <w:rFonts w:ascii="Times New Roman" w:eastAsia="Times New Roman" w:hAnsi="Times New Roman" w:cs="Times New Roman"/>
      <w:sz w:val="24"/>
      <w:lang w:eastAsia="en-US"/>
    </w:rPr>
  </w:style>
  <w:style w:type="paragraph" w:styleId="ListBullet">
    <w:name w:val="List Bullet"/>
    <w:basedOn w:val="List"/>
    <w:rsid w:val="003B12DE"/>
    <w:pPr>
      <w:numPr>
        <w:numId w:val="12"/>
      </w:numPr>
      <w:tabs>
        <w:tab w:val="clear" w:pos="340"/>
      </w:tabs>
      <w:spacing w:before="40" w:after="40"/>
    </w:pPr>
  </w:style>
  <w:style w:type="character" w:customStyle="1" w:styleId="SpecialBold">
    <w:name w:val="Special Bold"/>
    <w:basedOn w:val="DefaultParagraphFont"/>
    <w:rsid w:val="003B12DE"/>
    <w:rPr>
      <w:b/>
      <w:spacing w:val="0"/>
    </w:rPr>
  </w:style>
  <w:style w:type="paragraph" w:styleId="ListBullet2">
    <w:name w:val="List Bullet 2"/>
    <w:basedOn w:val="List2"/>
    <w:rsid w:val="003B12DE"/>
    <w:pPr>
      <w:numPr>
        <w:numId w:val="13"/>
      </w:numPr>
      <w:tabs>
        <w:tab w:val="clear" w:pos="680"/>
      </w:tabs>
    </w:pPr>
  </w:style>
  <w:style w:type="character" w:styleId="Emphasis">
    <w:name w:val="Emphasis"/>
    <w:basedOn w:val="DefaultParagraphFont"/>
    <w:qFormat/>
    <w:rsid w:val="003B12DE"/>
    <w:rPr>
      <w:i/>
    </w:rPr>
  </w:style>
  <w:style w:type="paragraph" w:customStyle="1" w:styleId="SuperHeading">
    <w:name w:val="SuperHeading"/>
    <w:basedOn w:val="Normal"/>
    <w:rsid w:val="003B12DE"/>
    <w:pPr>
      <w:spacing w:before="240" w:after="120"/>
      <w:outlineLvl w:val="0"/>
    </w:pPr>
    <w:rPr>
      <w:rFonts w:ascii="Times New Roman" w:hAnsi="Times New Roman"/>
      <w:b/>
      <w:sz w:val="32"/>
    </w:rPr>
  </w:style>
  <w:style w:type="paragraph" w:customStyle="1" w:styleId="AllowPageBreak">
    <w:name w:val="AllowPageBreak"/>
    <w:rsid w:val="003B1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12DE"/>
    <w:rPr>
      <w:b/>
      <w:i/>
      <w:u w:val="none"/>
    </w:rPr>
  </w:style>
  <w:style w:type="character" w:customStyle="1" w:styleId="Heading2Char">
    <w:name w:val="Heading 2 Char"/>
    <w:basedOn w:val="DefaultParagraphFont"/>
    <w:link w:val="Heading2"/>
    <w:rsid w:val="003B1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2DE"/>
    <w:rPr>
      <w:rFonts w:ascii="Courier New" w:eastAsia="Times New Roman" w:hAnsi="Courier New" w:cs="Times New Roman"/>
      <w:i/>
      <w:szCs w:val="20"/>
      <w:lang w:eastAsia="en-US"/>
    </w:rPr>
  </w:style>
  <w:style w:type="paragraph" w:customStyle="1" w:styleId="HeadingBase">
    <w:name w:val="Heading Base"/>
    <w:rsid w:val="003B1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2DE"/>
    <w:pPr>
      <w:tabs>
        <w:tab w:val="right" w:leader="dot" w:pos="9072"/>
      </w:tabs>
      <w:ind w:left="567"/>
    </w:pPr>
    <w:rPr>
      <w:szCs w:val="22"/>
    </w:rPr>
  </w:style>
  <w:style w:type="paragraph" w:customStyle="1" w:styleId="TOCBase">
    <w:name w:val="TOC Base"/>
    <w:rsid w:val="003B1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2DE"/>
    <w:pPr>
      <w:tabs>
        <w:tab w:val="right" w:leader="dot" w:pos="9072"/>
      </w:tabs>
      <w:spacing w:before="40" w:after="40"/>
      <w:ind w:left="284"/>
    </w:pPr>
    <w:rPr>
      <w:rFonts w:ascii="Times New Roman" w:hAnsi="Times New Roman"/>
    </w:rPr>
  </w:style>
  <w:style w:type="paragraph" w:styleId="TOC1">
    <w:name w:val="toc 1"/>
    <w:basedOn w:val="TOCBase"/>
    <w:next w:val="Normal"/>
    <w:rsid w:val="003B1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2DE"/>
    <w:rPr>
      <w:rFonts w:ascii="Times New Roman" w:eastAsia="Times New Roman" w:hAnsi="Times New Roman" w:cs="Times New Roman"/>
      <w:sz w:val="16"/>
      <w:lang w:eastAsia="en-US"/>
    </w:rPr>
  </w:style>
  <w:style w:type="paragraph" w:styleId="Title">
    <w:name w:val="Title"/>
    <w:basedOn w:val="HeadingBase"/>
    <w:link w:val="TitleChar"/>
    <w:qFormat/>
    <w:rsid w:val="003B12DE"/>
    <w:pPr>
      <w:spacing w:before="5040"/>
      <w:jc w:val="center"/>
    </w:pPr>
    <w:rPr>
      <w:sz w:val="48"/>
      <w:szCs w:val="72"/>
      <w:lang w:val="en-US"/>
    </w:rPr>
  </w:style>
  <w:style w:type="character" w:customStyle="1" w:styleId="TitleChar">
    <w:name w:val="Title Char"/>
    <w:basedOn w:val="DefaultParagraphFont"/>
    <w:link w:val="Title"/>
    <w:rsid w:val="003B1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2DE"/>
    <w:pPr>
      <w:tabs>
        <w:tab w:val="left" w:pos="3600"/>
        <w:tab w:val="left" w:pos="3958"/>
      </w:tabs>
    </w:pPr>
  </w:style>
  <w:style w:type="paragraph" w:styleId="List">
    <w:name w:val="List"/>
    <w:basedOn w:val="BodyText"/>
    <w:next w:val="BodyText"/>
    <w:rsid w:val="003B12DE"/>
    <w:pPr>
      <w:tabs>
        <w:tab w:val="left" w:pos="340"/>
      </w:tabs>
      <w:spacing w:before="60" w:after="60"/>
      <w:ind w:left="340" w:hanging="340"/>
    </w:pPr>
  </w:style>
  <w:style w:type="paragraph" w:customStyle="1" w:styleId="Note">
    <w:name w:val="Note"/>
    <w:basedOn w:val="BodyText"/>
    <w:rsid w:val="003B1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2DE"/>
    <w:pPr>
      <w:framePr w:wrap="auto" w:hAnchor="text" w:y="6049"/>
    </w:pPr>
    <w:rPr>
      <w:color w:val="000000"/>
      <w:sz w:val="40"/>
    </w:rPr>
  </w:style>
  <w:style w:type="paragraph" w:customStyle="1" w:styleId="TOCTitle">
    <w:name w:val="TOCTitle"/>
    <w:basedOn w:val="Heading1"/>
    <w:rsid w:val="003B12DE"/>
    <w:pPr>
      <w:spacing w:after="240"/>
      <w:jc w:val="center"/>
      <w:outlineLvl w:val="9"/>
    </w:pPr>
    <w:rPr>
      <w:caps/>
    </w:rPr>
  </w:style>
  <w:style w:type="paragraph" w:customStyle="1" w:styleId="Version">
    <w:name w:val="Version"/>
    <w:rsid w:val="003B1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2DE"/>
    <w:pPr>
      <w:keepNext w:val="0"/>
      <w:tabs>
        <w:tab w:val="right" w:pos="4176"/>
      </w:tabs>
      <w:ind w:left="198" w:hanging="198"/>
    </w:pPr>
    <w:rPr>
      <w:rFonts w:ascii="Garamond" w:hAnsi="Garamond"/>
    </w:rPr>
  </w:style>
  <w:style w:type="paragraph" w:styleId="IndexHeading">
    <w:name w:val="index heading"/>
    <w:basedOn w:val="Normal"/>
    <w:next w:val="Index1"/>
    <w:semiHidden/>
    <w:rsid w:val="003B12DE"/>
    <w:pPr>
      <w:spacing w:before="120" w:after="120"/>
    </w:pPr>
    <w:rPr>
      <w:rFonts w:ascii="Arial" w:hAnsi="Arial"/>
      <w:b/>
      <w:color w:val="918585"/>
      <w:sz w:val="24"/>
    </w:rPr>
  </w:style>
  <w:style w:type="paragraph" w:styleId="Header">
    <w:name w:val="header"/>
    <w:basedOn w:val="Normal"/>
    <w:link w:val="HeaderChar"/>
    <w:rsid w:val="003B1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2DE"/>
    <w:rPr>
      <w:rFonts w:ascii="Times New Roman" w:eastAsia="Times New Roman" w:hAnsi="Times New Roman" w:cs="Times New Roman"/>
      <w:sz w:val="16"/>
      <w:szCs w:val="20"/>
      <w:lang w:val="en-GB" w:eastAsia="en-US"/>
    </w:rPr>
  </w:style>
  <w:style w:type="paragraph" w:customStyle="1" w:styleId="Chapter">
    <w:name w:val="Chapter"/>
    <w:basedOn w:val="Normal"/>
    <w:rsid w:val="003B12DE"/>
    <w:pPr>
      <w:spacing w:before="240"/>
    </w:pPr>
    <w:rPr>
      <w:rFonts w:ascii="Times New Roman" w:hAnsi="Times New Roman"/>
      <w:smallCaps/>
      <w:spacing w:val="80"/>
      <w:sz w:val="28"/>
    </w:rPr>
  </w:style>
  <w:style w:type="paragraph" w:customStyle="1" w:styleId="InChapter">
    <w:name w:val="InChapter"/>
    <w:basedOn w:val="Heading3"/>
    <w:rsid w:val="003B12DE"/>
    <w:pPr>
      <w:spacing w:after="240"/>
      <w:outlineLvl w:val="9"/>
    </w:pPr>
    <w:rPr>
      <w:noProof/>
    </w:rPr>
  </w:style>
  <w:style w:type="paragraph" w:styleId="Index2">
    <w:name w:val="index 2"/>
    <w:basedOn w:val="Normal"/>
    <w:next w:val="Normal"/>
    <w:semiHidden/>
    <w:rsid w:val="003B12DE"/>
    <w:pPr>
      <w:tabs>
        <w:tab w:val="right" w:pos="4176"/>
      </w:tabs>
      <w:ind w:left="568" w:hanging="284"/>
    </w:pPr>
    <w:rPr>
      <w:rFonts w:ascii="Garamond" w:hAnsi="Garamond"/>
    </w:rPr>
  </w:style>
  <w:style w:type="paragraph" w:customStyle="1" w:styleId="Byline">
    <w:name w:val="Byline"/>
    <w:rsid w:val="003B1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2DE"/>
    <w:pPr>
      <w:tabs>
        <w:tab w:val="clear" w:pos="3600"/>
        <w:tab w:val="clear" w:pos="3958"/>
      </w:tabs>
      <w:jc w:val="right"/>
    </w:pPr>
  </w:style>
  <w:style w:type="paragraph" w:styleId="Caption">
    <w:name w:val="caption"/>
    <w:basedOn w:val="BodyText"/>
    <w:next w:val="Normal"/>
    <w:qFormat/>
    <w:rsid w:val="003B12DE"/>
    <w:pPr>
      <w:framePr w:w="2268" w:hSpace="181" w:vSpace="181" w:wrap="around" w:vAnchor="text" w:hAnchor="page" w:x="1135" w:y="285" w:anchorLock="1"/>
    </w:pPr>
    <w:rPr>
      <w:i/>
    </w:rPr>
  </w:style>
  <w:style w:type="paragraph" w:customStyle="1" w:styleId="MiniTOCTitle">
    <w:name w:val="MiniTOCTitle"/>
    <w:basedOn w:val="Heading4"/>
    <w:rsid w:val="003B12DE"/>
    <w:pPr>
      <w:spacing w:before="240"/>
      <w:outlineLvl w:val="9"/>
    </w:pPr>
    <w:rPr>
      <w:noProof/>
      <w:sz w:val="24"/>
    </w:rPr>
  </w:style>
  <w:style w:type="paragraph" w:customStyle="1" w:styleId="MiniTOCItem">
    <w:name w:val="MiniTOCItem"/>
    <w:basedOn w:val="ListBullet"/>
    <w:rsid w:val="003B12DE"/>
    <w:pPr>
      <w:numPr>
        <w:numId w:val="0"/>
      </w:numPr>
      <w:tabs>
        <w:tab w:val="right" w:leader="dot" w:pos="6521"/>
      </w:tabs>
      <w:spacing w:before="0" w:after="0"/>
    </w:pPr>
  </w:style>
  <w:style w:type="paragraph" w:customStyle="1" w:styleId="TOFTitle">
    <w:name w:val="TOFTitle"/>
    <w:basedOn w:val="TOCTitle"/>
    <w:rsid w:val="003B12DE"/>
  </w:style>
  <w:style w:type="paragraph" w:styleId="TableofFigures">
    <w:name w:val="table of figures"/>
    <w:basedOn w:val="Normal"/>
    <w:next w:val="Normal"/>
    <w:semiHidden/>
    <w:rsid w:val="003B12DE"/>
    <w:pPr>
      <w:tabs>
        <w:tab w:val="right" w:leader="dot" w:pos="9072"/>
      </w:tabs>
      <w:ind w:left="970" w:hanging="403"/>
    </w:pPr>
    <w:rPr>
      <w:rFonts w:ascii="Times New Roman" w:hAnsi="Times New Roman"/>
      <w:b/>
    </w:rPr>
  </w:style>
  <w:style w:type="paragraph" w:styleId="ListNumber">
    <w:name w:val="List Number"/>
    <w:basedOn w:val="List"/>
    <w:rsid w:val="003B12DE"/>
    <w:pPr>
      <w:numPr>
        <w:numId w:val="15"/>
      </w:numPr>
      <w:tabs>
        <w:tab w:val="clear" w:pos="340"/>
      </w:tabs>
    </w:pPr>
  </w:style>
  <w:style w:type="character" w:customStyle="1" w:styleId="WingdingSymbols">
    <w:name w:val="Wingding Symbols"/>
    <w:rsid w:val="003B12DE"/>
    <w:rPr>
      <w:rFonts w:ascii="Wingdings" w:hAnsi="Wingdings"/>
    </w:rPr>
  </w:style>
  <w:style w:type="paragraph" w:customStyle="1" w:styleId="TableHeading">
    <w:name w:val="Table Heading"/>
    <w:basedOn w:val="HeadingBase"/>
    <w:rsid w:val="003B12DE"/>
    <w:pPr>
      <w:keepLines/>
      <w:pBdr>
        <w:bottom w:val="single" w:sz="6" w:space="1" w:color="918585"/>
      </w:pBdr>
      <w:spacing w:before="240"/>
    </w:pPr>
  </w:style>
  <w:style w:type="character" w:customStyle="1" w:styleId="HotSpot">
    <w:name w:val="HotSpot"/>
    <w:rsid w:val="003B12DE"/>
    <w:rPr>
      <w:color w:val="0033CC"/>
      <w:u w:val="none"/>
    </w:rPr>
  </w:style>
  <w:style w:type="paragraph" w:customStyle="1" w:styleId="BodyTextRight">
    <w:name w:val="Body Text Right"/>
    <w:basedOn w:val="BodyText"/>
    <w:rsid w:val="003B12DE"/>
    <w:pPr>
      <w:spacing w:before="0" w:after="0"/>
      <w:jc w:val="right"/>
    </w:pPr>
  </w:style>
  <w:style w:type="paragraph" w:styleId="Index3">
    <w:name w:val="index 3"/>
    <w:basedOn w:val="ListNumber2"/>
    <w:next w:val="Normal"/>
    <w:semiHidden/>
    <w:rsid w:val="003B12DE"/>
    <w:pPr>
      <w:numPr>
        <w:numId w:val="0"/>
      </w:numPr>
      <w:tabs>
        <w:tab w:val="right" w:leader="dot" w:pos="4176"/>
      </w:tabs>
    </w:pPr>
  </w:style>
  <w:style w:type="paragraph" w:styleId="ListNumber2">
    <w:name w:val="List Number 2"/>
    <w:basedOn w:val="List2"/>
    <w:rsid w:val="003B12DE"/>
    <w:pPr>
      <w:numPr>
        <w:numId w:val="10"/>
      </w:numPr>
      <w:tabs>
        <w:tab w:val="clear" w:pos="1060"/>
      </w:tabs>
    </w:pPr>
  </w:style>
  <w:style w:type="paragraph" w:customStyle="1" w:styleId="MarginNote">
    <w:name w:val="Margin Note"/>
    <w:basedOn w:val="BodyText"/>
    <w:rsid w:val="003B1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2DE"/>
    <w:rPr>
      <w:sz w:val="32"/>
    </w:rPr>
  </w:style>
  <w:style w:type="paragraph" w:customStyle="1" w:styleId="HeadingProcedure">
    <w:name w:val="Heading Procedure"/>
    <w:basedOn w:val="HeadingBase"/>
    <w:next w:val="Normal"/>
    <w:rsid w:val="003B12DE"/>
    <w:pPr>
      <w:tabs>
        <w:tab w:val="left" w:pos="0"/>
      </w:tabs>
      <w:spacing w:before="120" w:after="60"/>
    </w:pPr>
    <w:rPr>
      <w:i/>
      <w:color w:val="918585"/>
      <w:sz w:val="22"/>
    </w:rPr>
  </w:style>
  <w:style w:type="paragraph" w:customStyle="1" w:styleId="TableBodyText">
    <w:name w:val="Table Body Text"/>
    <w:basedOn w:val="BodyText"/>
    <w:rsid w:val="003B12DE"/>
    <w:pPr>
      <w:spacing w:before="60" w:after="60"/>
    </w:pPr>
  </w:style>
  <w:style w:type="paragraph" w:styleId="ListContinue">
    <w:name w:val="List Continue"/>
    <w:basedOn w:val="List"/>
    <w:rsid w:val="003B12DE"/>
    <w:pPr>
      <w:ind w:firstLine="0"/>
    </w:pPr>
  </w:style>
  <w:style w:type="paragraph" w:customStyle="1" w:styleId="ListNote">
    <w:name w:val="List Note"/>
    <w:basedOn w:val="List"/>
    <w:rsid w:val="003B12DE"/>
    <w:pPr>
      <w:pBdr>
        <w:top w:val="single" w:sz="6" w:space="2" w:color="918585"/>
        <w:bottom w:val="single" w:sz="6" w:space="2" w:color="918585"/>
      </w:pBdr>
      <w:tabs>
        <w:tab w:val="left" w:pos="1021"/>
      </w:tabs>
      <w:ind w:firstLine="0"/>
    </w:pPr>
  </w:style>
  <w:style w:type="paragraph" w:customStyle="1" w:styleId="Warning">
    <w:name w:val="Warning"/>
    <w:basedOn w:val="BodyText"/>
    <w:rsid w:val="003B12DE"/>
    <w:pPr>
      <w:shd w:val="clear" w:color="auto" w:fill="D9D9D9"/>
      <w:tabs>
        <w:tab w:val="left" w:pos="992"/>
      </w:tabs>
      <w:ind w:left="119" w:right="119"/>
    </w:pPr>
    <w:rPr>
      <w:sz w:val="20"/>
    </w:rPr>
  </w:style>
  <w:style w:type="paragraph" w:customStyle="1" w:styleId="MarginIcons">
    <w:name w:val="Margin Icons"/>
    <w:basedOn w:val="BodyText"/>
    <w:rsid w:val="003B1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2DE"/>
    <w:rPr>
      <w:rFonts w:ascii="Courier New" w:hAnsi="Courier New"/>
    </w:rPr>
  </w:style>
  <w:style w:type="paragraph" w:customStyle="1" w:styleId="NoteBullet">
    <w:name w:val="Note Bullet"/>
    <w:basedOn w:val="Note"/>
    <w:rsid w:val="003B12DE"/>
    <w:pPr>
      <w:tabs>
        <w:tab w:val="clear" w:pos="680"/>
      </w:tabs>
      <w:spacing w:before="60" w:after="60"/>
    </w:pPr>
  </w:style>
  <w:style w:type="paragraph" w:customStyle="1" w:styleId="SubHeading2">
    <w:name w:val="SubHeading2"/>
    <w:basedOn w:val="HeadingBase"/>
    <w:rsid w:val="003B12DE"/>
    <w:pPr>
      <w:spacing w:before="240" w:after="60"/>
    </w:pPr>
    <w:rPr>
      <w:sz w:val="20"/>
    </w:rPr>
  </w:style>
  <w:style w:type="paragraph" w:customStyle="1" w:styleId="SubHeading1">
    <w:name w:val="SubHeading1"/>
    <w:basedOn w:val="HeadingBase"/>
    <w:rsid w:val="003B12DE"/>
    <w:pPr>
      <w:spacing w:before="240" w:after="60"/>
    </w:pPr>
    <w:rPr>
      <w:color w:val="918585"/>
      <w:sz w:val="22"/>
    </w:rPr>
  </w:style>
  <w:style w:type="paragraph" w:customStyle="1" w:styleId="SideHeading">
    <w:name w:val="Side Heading"/>
    <w:basedOn w:val="HeadingBase"/>
    <w:rsid w:val="003B1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2DE"/>
    <w:pPr>
      <w:tabs>
        <w:tab w:val="num" w:pos="360"/>
      </w:tabs>
    </w:pPr>
  </w:style>
  <w:style w:type="paragraph" w:styleId="PlainText">
    <w:name w:val="Plain Text"/>
    <w:basedOn w:val="Normal"/>
    <w:link w:val="PlainTextChar"/>
    <w:rsid w:val="003B12DE"/>
    <w:rPr>
      <w:sz w:val="20"/>
    </w:rPr>
  </w:style>
  <w:style w:type="character" w:customStyle="1" w:styleId="PlainTextChar">
    <w:name w:val="Plain Text Char"/>
    <w:basedOn w:val="DefaultParagraphFont"/>
    <w:link w:val="PlainText"/>
    <w:rsid w:val="003B12DE"/>
    <w:rPr>
      <w:rFonts w:ascii="Courier New" w:eastAsia="Times New Roman" w:hAnsi="Courier New" w:cs="Times New Roman"/>
      <w:sz w:val="20"/>
      <w:szCs w:val="20"/>
      <w:lang w:eastAsia="en-US"/>
    </w:rPr>
  </w:style>
  <w:style w:type="character" w:customStyle="1" w:styleId="MenuOption">
    <w:name w:val="Menu Option"/>
    <w:basedOn w:val="DefaultParagraphFont"/>
    <w:rsid w:val="003B12DE"/>
    <w:rPr>
      <w:b/>
      <w:smallCaps/>
    </w:rPr>
  </w:style>
  <w:style w:type="paragraph" w:customStyle="1" w:styleId="TableListNumber">
    <w:name w:val="Table List Number"/>
    <w:basedOn w:val="ListNumber"/>
    <w:rsid w:val="003B12DE"/>
    <w:pPr>
      <w:numPr>
        <w:numId w:val="0"/>
      </w:numPr>
    </w:pPr>
  </w:style>
  <w:style w:type="paragraph" w:styleId="TOC4">
    <w:name w:val="toc 4"/>
    <w:basedOn w:val="TOCBase"/>
    <w:next w:val="Normal"/>
    <w:semiHidden/>
    <w:rsid w:val="003B12DE"/>
    <w:pPr>
      <w:tabs>
        <w:tab w:val="right" w:leader="dot" w:pos="9071"/>
      </w:tabs>
      <w:ind w:left="1701"/>
    </w:pPr>
  </w:style>
  <w:style w:type="paragraph" w:customStyle="1" w:styleId="ListAlpha">
    <w:name w:val="List Alpha"/>
    <w:basedOn w:val="List"/>
    <w:rsid w:val="003B12DE"/>
    <w:pPr>
      <w:numPr>
        <w:numId w:val="9"/>
      </w:numPr>
    </w:pPr>
  </w:style>
  <w:style w:type="paragraph" w:customStyle="1" w:styleId="ListAlpha2">
    <w:name w:val="List Alpha 2"/>
    <w:basedOn w:val="List2"/>
    <w:rsid w:val="003B12DE"/>
    <w:pPr>
      <w:numPr>
        <w:numId w:val="8"/>
      </w:numPr>
    </w:pPr>
  </w:style>
  <w:style w:type="paragraph" w:styleId="List2">
    <w:name w:val="List 2"/>
    <w:basedOn w:val="BodyText"/>
    <w:rsid w:val="003B12DE"/>
    <w:pPr>
      <w:tabs>
        <w:tab w:val="left" w:pos="680"/>
      </w:tabs>
      <w:spacing w:before="60" w:after="60"/>
      <w:ind w:left="680" w:hanging="340"/>
    </w:pPr>
  </w:style>
  <w:style w:type="paragraph" w:styleId="List3">
    <w:name w:val="List 3"/>
    <w:basedOn w:val="BodyText"/>
    <w:rsid w:val="003B12DE"/>
    <w:pPr>
      <w:tabs>
        <w:tab w:val="left" w:pos="1021"/>
      </w:tabs>
      <w:spacing w:before="60" w:after="60"/>
      <w:ind w:left="1020" w:hanging="340"/>
    </w:pPr>
  </w:style>
  <w:style w:type="paragraph" w:styleId="List4">
    <w:name w:val="List 4"/>
    <w:basedOn w:val="BodyText"/>
    <w:rsid w:val="003B12DE"/>
    <w:pPr>
      <w:tabs>
        <w:tab w:val="left" w:pos="1361"/>
      </w:tabs>
      <w:spacing w:before="60" w:after="60"/>
      <w:ind w:left="1361" w:hanging="340"/>
    </w:pPr>
  </w:style>
  <w:style w:type="paragraph" w:styleId="List5">
    <w:name w:val="List 5"/>
    <w:basedOn w:val="BodyText"/>
    <w:rsid w:val="003B12DE"/>
    <w:pPr>
      <w:tabs>
        <w:tab w:val="left" w:pos="1701"/>
      </w:tabs>
      <w:spacing w:before="60" w:after="60"/>
      <w:ind w:left="1701" w:hanging="340"/>
    </w:pPr>
  </w:style>
  <w:style w:type="paragraph" w:styleId="ListBullet3">
    <w:name w:val="List Bullet 3"/>
    <w:basedOn w:val="List3"/>
    <w:rsid w:val="003B12DE"/>
    <w:pPr>
      <w:numPr>
        <w:numId w:val="14"/>
      </w:numPr>
      <w:tabs>
        <w:tab w:val="clear" w:pos="1021"/>
      </w:tabs>
      <w:ind w:left="1037" w:hanging="357"/>
    </w:pPr>
  </w:style>
  <w:style w:type="paragraph" w:styleId="ListBullet4">
    <w:name w:val="List Bullet 4"/>
    <w:basedOn w:val="List4"/>
    <w:rsid w:val="003B12DE"/>
    <w:pPr>
      <w:numPr>
        <w:numId w:val="3"/>
      </w:numPr>
      <w:tabs>
        <w:tab w:val="clear" w:pos="1361"/>
      </w:tabs>
    </w:pPr>
  </w:style>
  <w:style w:type="paragraph" w:styleId="ListBullet5">
    <w:name w:val="List Bullet 5"/>
    <w:basedOn w:val="List5"/>
    <w:rsid w:val="003B12DE"/>
    <w:pPr>
      <w:numPr>
        <w:numId w:val="4"/>
      </w:numPr>
    </w:pPr>
  </w:style>
  <w:style w:type="paragraph" w:styleId="ListContinue2">
    <w:name w:val="List Continue 2"/>
    <w:basedOn w:val="List2"/>
    <w:rsid w:val="003B12DE"/>
    <w:pPr>
      <w:ind w:firstLine="0"/>
    </w:pPr>
  </w:style>
  <w:style w:type="paragraph" w:styleId="ListContinue3">
    <w:name w:val="List Continue 3"/>
    <w:basedOn w:val="List3"/>
    <w:rsid w:val="003B12DE"/>
    <w:pPr>
      <w:ind w:left="1021" w:firstLine="0"/>
    </w:pPr>
  </w:style>
  <w:style w:type="paragraph" w:styleId="ListContinue4">
    <w:name w:val="List Continue 4"/>
    <w:basedOn w:val="List4"/>
    <w:rsid w:val="003B12DE"/>
    <w:pPr>
      <w:ind w:firstLine="0"/>
    </w:pPr>
  </w:style>
  <w:style w:type="paragraph" w:styleId="ListContinue5">
    <w:name w:val="List Continue 5"/>
    <w:basedOn w:val="List5"/>
    <w:rsid w:val="003B12DE"/>
    <w:pPr>
      <w:ind w:firstLine="0"/>
    </w:pPr>
  </w:style>
  <w:style w:type="paragraph" w:styleId="ListNumber3">
    <w:name w:val="List Number 3"/>
    <w:basedOn w:val="List3"/>
    <w:rsid w:val="003B12DE"/>
    <w:pPr>
      <w:numPr>
        <w:numId w:val="5"/>
      </w:numPr>
    </w:pPr>
  </w:style>
  <w:style w:type="paragraph" w:styleId="ListNumber4">
    <w:name w:val="List Number 4"/>
    <w:basedOn w:val="List4"/>
    <w:rsid w:val="003B12DE"/>
    <w:pPr>
      <w:numPr>
        <w:numId w:val="6"/>
      </w:numPr>
    </w:pPr>
  </w:style>
  <w:style w:type="paragraph" w:styleId="ListNumber5">
    <w:name w:val="List Number 5"/>
    <w:basedOn w:val="List5"/>
    <w:rsid w:val="003B12DE"/>
    <w:pPr>
      <w:numPr>
        <w:numId w:val="7"/>
      </w:numPr>
    </w:pPr>
  </w:style>
  <w:style w:type="paragraph" w:styleId="BlockText">
    <w:name w:val="Block Text"/>
    <w:basedOn w:val="Normal"/>
    <w:rsid w:val="003B12DE"/>
    <w:pPr>
      <w:spacing w:after="120"/>
      <w:ind w:left="1440" w:right="1440"/>
    </w:pPr>
  </w:style>
  <w:style w:type="character" w:customStyle="1" w:styleId="Subscript">
    <w:name w:val="Subscript"/>
    <w:basedOn w:val="DefaultParagraphFont"/>
    <w:rsid w:val="003B12DE"/>
    <w:rPr>
      <w:sz w:val="16"/>
      <w:vertAlign w:val="subscript"/>
    </w:rPr>
  </w:style>
  <w:style w:type="character" w:customStyle="1" w:styleId="Superscript">
    <w:name w:val="Superscript"/>
    <w:basedOn w:val="DefaultParagraphFont"/>
    <w:rsid w:val="003B12DE"/>
    <w:rPr>
      <w:sz w:val="16"/>
      <w:vertAlign w:val="superscript"/>
    </w:rPr>
  </w:style>
  <w:style w:type="character" w:customStyle="1" w:styleId="Symbols">
    <w:name w:val="Symbols"/>
    <w:basedOn w:val="DefaultParagraphFont"/>
    <w:rsid w:val="003B12DE"/>
    <w:rPr>
      <w:rFonts w:ascii="Symbol" w:hAnsi="Symbol"/>
    </w:rPr>
  </w:style>
  <w:style w:type="character" w:customStyle="1" w:styleId="MenuOptions">
    <w:name w:val="Menu Options"/>
    <w:basedOn w:val="DefaultParagraphFont"/>
    <w:rsid w:val="003B12DE"/>
    <w:rPr>
      <w:rFonts w:ascii="Arial Narrow" w:hAnsi="Arial Narrow"/>
      <w:smallCaps/>
    </w:rPr>
  </w:style>
  <w:style w:type="character" w:customStyle="1" w:styleId="Buttons">
    <w:name w:val="Buttons"/>
    <w:basedOn w:val="DefaultParagraphFont"/>
    <w:rsid w:val="003B12DE"/>
    <w:rPr>
      <w:b/>
    </w:rPr>
  </w:style>
  <w:style w:type="character" w:customStyle="1" w:styleId="Underlined">
    <w:name w:val="Underlined"/>
    <w:basedOn w:val="DefaultParagraphFont"/>
    <w:rsid w:val="003B12DE"/>
    <w:rPr>
      <w:u w:val="single"/>
    </w:rPr>
  </w:style>
  <w:style w:type="paragraph" w:customStyle="1" w:styleId="TableBodyTextRight">
    <w:name w:val="Table Body Text Right"/>
    <w:basedOn w:val="TableBodyText"/>
    <w:rsid w:val="003B12DE"/>
    <w:pPr>
      <w:widowControl w:val="0"/>
      <w:autoSpaceDE w:val="0"/>
      <w:autoSpaceDN w:val="0"/>
      <w:adjustRightInd w:val="0"/>
      <w:jc w:val="right"/>
    </w:pPr>
    <w:rPr>
      <w:rFonts w:cs="Arial"/>
      <w:szCs w:val="18"/>
    </w:rPr>
  </w:style>
  <w:style w:type="paragraph" w:customStyle="1" w:styleId="CopyrightText">
    <w:name w:val="Copyright Text"/>
    <w:basedOn w:val="BodyText"/>
    <w:rsid w:val="003B12DE"/>
    <w:rPr>
      <w:sz w:val="18"/>
    </w:rPr>
  </w:style>
  <w:style w:type="paragraph" w:customStyle="1" w:styleId="BodySmallRight">
    <w:name w:val="Body Small Right"/>
    <w:basedOn w:val="BodyTextRight"/>
    <w:rsid w:val="003B12DE"/>
    <w:rPr>
      <w:sz w:val="18"/>
      <w:szCs w:val="18"/>
    </w:rPr>
  </w:style>
  <w:style w:type="paragraph" w:customStyle="1" w:styleId="MarginEdition">
    <w:name w:val="Margin Edition"/>
    <w:basedOn w:val="MarginNote"/>
    <w:rsid w:val="003B12DE"/>
    <w:pPr>
      <w:spacing w:before="0" w:after="0"/>
    </w:pPr>
    <w:rPr>
      <w:rFonts w:ascii="Times New Roman" w:hAnsi="Times New Roman"/>
      <w:color w:val="999999"/>
    </w:rPr>
  </w:style>
  <w:style w:type="paragraph" w:customStyle="1" w:styleId="Spacer">
    <w:name w:val="Spacer"/>
    <w:basedOn w:val="Normal"/>
    <w:rsid w:val="003B12DE"/>
    <w:rPr>
      <w:sz w:val="2"/>
      <w:szCs w:val="2"/>
    </w:rPr>
  </w:style>
  <w:style w:type="character" w:customStyle="1" w:styleId="Small">
    <w:name w:val="Small"/>
    <w:basedOn w:val="DefaultParagraphFont"/>
    <w:rsid w:val="003B12DE"/>
    <w:rPr>
      <w:sz w:val="16"/>
    </w:rPr>
  </w:style>
  <w:style w:type="paragraph" w:customStyle="1" w:styleId="WideTable">
    <w:name w:val="Wide Table"/>
    <w:basedOn w:val="Normal"/>
    <w:rsid w:val="003B12DE"/>
    <w:pPr>
      <w:ind w:left="-1418"/>
    </w:pPr>
    <w:rPr>
      <w:sz w:val="2"/>
      <w:szCs w:val="2"/>
    </w:rPr>
  </w:style>
  <w:style w:type="character" w:styleId="PageNumber">
    <w:name w:val="page number"/>
    <w:basedOn w:val="DefaultParagraphFont"/>
    <w:rsid w:val="003B12DE"/>
  </w:style>
  <w:style w:type="paragraph" w:styleId="Quote">
    <w:name w:val="Quote"/>
    <w:basedOn w:val="Heading1"/>
    <w:link w:val="QuoteChar"/>
    <w:qFormat/>
    <w:rsid w:val="003B12DE"/>
    <w:rPr>
      <w:b w:val="0"/>
      <w:sz w:val="72"/>
      <w:szCs w:val="72"/>
      <w:lang w:val="en-NZ"/>
    </w:rPr>
  </w:style>
  <w:style w:type="character" w:customStyle="1" w:styleId="QuoteChar">
    <w:name w:val="Quote Char"/>
    <w:basedOn w:val="DefaultParagraphFont"/>
    <w:link w:val="Quote"/>
    <w:rsid w:val="003B1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2DE"/>
    <w:pPr>
      <w:pageBreakBefore/>
    </w:pPr>
  </w:style>
  <w:style w:type="paragraph" w:customStyle="1" w:styleId="Border">
    <w:name w:val="Border"/>
    <w:basedOn w:val="Normal"/>
    <w:qFormat/>
    <w:rsid w:val="003B1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2DE"/>
    <w:rPr>
      <w:b/>
      <w:bCs/>
      <w:i/>
      <w:iCs/>
      <w:color w:val="auto"/>
    </w:rPr>
  </w:style>
  <w:style w:type="paragraph" w:styleId="IntenseQuote">
    <w:name w:val="Intense Quote"/>
    <w:basedOn w:val="Normal"/>
    <w:next w:val="Normal"/>
    <w:link w:val="IntenseQuoteChar"/>
    <w:uiPriority w:val="30"/>
    <w:qFormat/>
    <w:rsid w:val="003B1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2DE"/>
    <w:rPr>
      <w:smallCaps/>
      <w:color w:val="auto"/>
      <w:u w:val="single"/>
    </w:rPr>
  </w:style>
  <w:style w:type="character" w:styleId="IntenseReference">
    <w:name w:val="Intense Reference"/>
    <w:basedOn w:val="DefaultParagraphFont"/>
    <w:uiPriority w:val="32"/>
    <w:qFormat/>
    <w:rsid w:val="003B12DE"/>
    <w:rPr>
      <w:b/>
      <w:bCs/>
      <w:smallCaps/>
      <w:color w:val="auto"/>
      <w:spacing w:val="5"/>
      <w:u w:val="single"/>
    </w:rPr>
  </w:style>
  <w:style w:type="paragraph" w:customStyle="1" w:styleId="2ColumnHeading">
    <w:name w:val="2Column Heading"/>
    <w:basedOn w:val="BodyText"/>
    <w:qFormat/>
    <w:rsid w:val="003B12DE"/>
    <w:pPr>
      <w:spacing w:after="60"/>
      <w:ind w:left="-2268"/>
    </w:pPr>
    <w:rPr>
      <w:b/>
    </w:rPr>
  </w:style>
  <w:style w:type="paragraph" w:customStyle="1" w:styleId="Heading1TOC">
    <w:name w:val="Heading1 TOC"/>
    <w:basedOn w:val="Normal"/>
    <w:qFormat/>
    <w:rsid w:val="003B12DE"/>
    <w:pPr>
      <w:spacing w:before="240" w:after="120"/>
    </w:pPr>
    <w:rPr>
      <w:rFonts w:ascii="Times New Roman" w:hAnsi="Times New Roman"/>
      <w:b/>
      <w:sz w:val="32"/>
    </w:rPr>
  </w:style>
  <w:style w:type="paragraph" w:customStyle="1" w:styleId="Heading2TOC">
    <w:name w:val="Heading2 TOC"/>
    <w:basedOn w:val="Normal"/>
    <w:qFormat/>
    <w:rsid w:val="003B12DE"/>
    <w:pPr>
      <w:spacing w:before="240" w:after="60"/>
    </w:pPr>
    <w:rPr>
      <w:rFonts w:ascii="Times New Roman" w:hAnsi="Times New Roman"/>
      <w:b/>
      <w:sz w:val="28"/>
    </w:rPr>
  </w:style>
  <w:style w:type="character" w:customStyle="1" w:styleId="Underline">
    <w:name w:val="Underline"/>
    <w:basedOn w:val="DefaultParagraphFont"/>
    <w:qFormat/>
    <w:rsid w:val="003B12DE"/>
    <w:rPr>
      <w:u w:val="single"/>
    </w:rPr>
  </w:style>
  <w:style w:type="paragraph" w:styleId="BalloonText">
    <w:name w:val="Balloon Text"/>
    <w:basedOn w:val="Normal"/>
    <w:link w:val="BalloonTextChar"/>
    <w:rsid w:val="003B12DE"/>
    <w:rPr>
      <w:rFonts w:ascii="Tahoma" w:hAnsi="Tahoma" w:cs="Tahoma"/>
      <w:sz w:val="16"/>
      <w:szCs w:val="16"/>
    </w:rPr>
  </w:style>
  <w:style w:type="character" w:customStyle="1" w:styleId="BalloonTextChar">
    <w:name w:val="Balloon Text Char"/>
    <w:basedOn w:val="DefaultParagraphFont"/>
    <w:link w:val="BalloonText"/>
    <w:rsid w:val="003B1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2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2DE"/>
    <w:rPr>
      <w:b/>
      <w:color w:val="660033"/>
      <w:spacing w:val="0"/>
    </w:rPr>
  </w:style>
  <w:style w:type="paragraph" w:customStyle="1" w:styleId="Nameditemlist">
    <w:name w:val="Named item list"/>
    <w:basedOn w:val="BodyText"/>
    <w:qFormat/>
    <w:rsid w:val="003B12DE"/>
    <w:pPr>
      <w:tabs>
        <w:tab w:val="left" w:pos="2835"/>
      </w:tabs>
      <w:ind w:left="2835" w:hanging="2835"/>
    </w:pPr>
  </w:style>
  <w:style w:type="paragraph" w:customStyle="1" w:styleId="BodyTextnopadding">
    <w:name w:val="Body Text no padding"/>
    <w:basedOn w:val="BodyText"/>
    <w:qFormat/>
    <w:rsid w:val="003B12DE"/>
    <w:pPr>
      <w:spacing w:before="0" w:after="0"/>
    </w:pPr>
  </w:style>
  <w:style w:type="paragraph" w:customStyle="1" w:styleId="BodyTextBold">
    <w:name w:val="Body Text Bold"/>
    <w:basedOn w:val="BodyText"/>
    <w:qFormat/>
    <w:rsid w:val="003B12DE"/>
    <w:rPr>
      <w:b/>
    </w:rPr>
  </w:style>
  <w:style w:type="character" w:styleId="Hyperlink">
    <w:name w:val="Hyperlink"/>
    <w:basedOn w:val="DefaultParagraphFont"/>
    <w:uiPriority w:val="99"/>
    <w:unhideWhenUsed/>
    <w:rsid w:val="00AB57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1467</Words>
  <Characters>9936</Characters>
  <Application>Microsoft Office Word</Application>
  <DocSecurity>0</DocSecurity>
  <Lines>397</Lines>
  <Paragraphs>247</Paragraphs>
  <ScaleCrop>false</ScaleCrop>
  <Company>Author-it Software Corporation Ltd.</Company>
  <LinksUpToDate>false</LinksUpToDate>
  <CharactersWithSpaces>11156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CPPDSM4009 Interpret legislation to complete work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