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1E7" w:rsidP="004D3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CPPCMN4013 Operate a sustainable business</w:t>
      </w:r>
      <w:r>
        <w:fldChar w:fldCharType="end"/>
      </w:r>
    </w:p>
    <w:p w:rsidR="004D31E7" w:rsidP="004D31E7">
      <w:pPr>
        <w:pStyle w:val="Version"/>
        <w:sectPr w:rsidSect="001D1E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EB2" w:rsidP="001D1EB2">
      <w:pPr>
        <w:pStyle w:val="SuperHeading"/>
      </w:pPr>
      <w:r w:rsidRPr="001D1EB2">
        <w:t>Assessment Requirements for CPPCMN4013 Operate a sustainable business</w:t>
      </w:r>
    </w:p>
    <w:p w:rsidR="00000000" w:rsidRPr="001D1EB2" w:rsidP="001D1EB2">
      <w:pPr>
        <w:pStyle w:val="Heading1"/>
      </w:pPr>
      <w:bookmarkStart w:id="1" w:name="O_1196835"/>
      <w:bookmarkEnd w:id="1"/>
      <w:r w:rsidRPr="001D1E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1D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EB2">
            <w:pPr>
              <w:pStyle w:val="BodyText"/>
              <w:rPr>
                <w:lang w:val="en-NZ"/>
              </w:rPr>
            </w:pPr>
            <w:r w:rsidRPr="001D1EB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EB2" w:rsidP="001D1EB2">
            <w:pPr>
              <w:pStyle w:val="BodyText"/>
            </w:pPr>
            <w:r w:rsidRPr="001D1EB2">
              <w:t>This version first released with CPP Property Services Training Package Release 15.0.</w:t>
            </w:r>
          </w:p>
          <w:p w:rsidR="00000000" w:rsidRPr="001D1EB2" w:rsidP="001D1EB2">
            <w:pPr>
              <w:pStyle w:val="BodyText"/>
            </w:pPr>
            <w:r w:rsidRPr="001D1EB2">
              <w:t xml:space="preserve">Supersedes and is equivalent to CPPCMN4013B Operate a sustainable business.  Unit updated to meet the Standards for Training Packages 2012. </w:t>
            </w:r>
          </w:p>
        </w:tc>
      </w:tr>
    </w:tbl>
    <w:p w:rsidR="00000000" w:rsidRPr="001D1EB2" w:rsidP="001D1EB2">
      <w:pPr>
        <w:pStyle w:val="BodyText"/>
      </w:pPr>
    </w:p>
    <w:p w:rsidR="00000000" w:rsidRPr="001D1EB2" w:rsidP="001D1EB2">
      <w:pPr>
        <w:pStyle w:val="AllowPageBreak"/>
      </w:pPr>
    </w:p>
    <w:p w:rsidR="00000000" w:rsidRPr="001D1EB2" w:rsidP="001D1EB2">
      <w:pPr>
        <w:pStyle w:val="Heading1"/>
      </w:pPr>
      <w:bookmarkStart w:id="2" w:name="O_1196838"/>
      <w:bookmarkEnd w:id="2"/>
      <w:r w:rsidRPr="001D1EB2">
        <w:t>Performance Evidence</w:t>
      </w:r>
    </w:p>
    <w:p w:rsidR="00000000" w:rsidRPr="001D1EB2" w:rsidP="004D31E7">
      <w:pPr>
        <w:pStyle w:val="BodyText"/>
      </w:pPr>
      <w:r w:rsidRPr="001D1EB2">
        <w:t>To demonstrate competency, a candidate must meet the elements and perform</w:t>
      </w:r>
      <w:r w:rsidRPr="001D1EB2">
        <w:t>ance criteria of this unit by implementing, promoting and monitoring business policies, practices, products and services that support sustainability, involving:</w:t>
      </w:r>
    </w:p>
    <w:p w:rsidR="00000000" w:rsidRPr="001D1EB2" w:rsidP="001D1EB2">
      <w:pPr>
        <w:pStyle w:val="ListBullet"/>
      </w:pPr>
      <w:r w:rsidRPr="001D1EB2">
        <w:t>identifying at least two new sustainable business opportunities</w:t>
      </w:r>
    </w:p>
    <w:p w:rsidR="00000000" w:rsidRPr="001D1EB2" w:rsidP="001D1EB2">
      <w:pPr>
        <w:pStyle w:val="ListBullet"/>
      </w:pPr>
      <w:r w:rsidRPr="001D1EB2">
        <w:t>using progress against perform</w:t>
      </w:r>
      <w:r w:rsidRPr="001D1EB2">
        <w:t>ance indicators to recommend at least two business improvements to ensure the delivery of sustainable products or services</w:t>
      </w:r>
    </w:p>
    <w:p w:rsidR="00000000" w:rsidRPr="001D1EB2" w:rsidP="001D1EB2">
      <w:pPr>
        <w:pStyle w:val="ListBullet"/>
      </w:pPr>
      <w:r w:rsidRPr="001D1EB2">
        <w:t>planning and organising at least one work activity that generates ideas for improving sustainability performance</w:t>
      </w:r>
    </w:p>
    <w:p w:rsidR="00000000" w:rsidRPr="001D1EB2" w:rsidP="001D1EB2">
      <w:pPr>
        <w:pStyle w:val="ListBullet"/>
      </w:pPr>
      <w:r w:rsidRPr="001D1EB2">
        <w:t>using client feedbac</w:t>
      </w:r>
      <w:r w:rsidRPr="001D1EB2">
        <w:t>k to identify two strategies to improve business sustainability.</w:t>
      </w:r>
    </w:p>
    <w:p w:rsidR="00000000" w:rsidRPr="001D1EB2" w:rsidP="001D1EB2">
      <w:pPr>
        <w:pStyle w:val="AllowPageBreak"/>
      </w:pPr>
    </w:p>
    <w:p w:rsidR="00000000" w:rsidRPr="001D1EB2" w:rsidP="001D1EB2">
      <w:pPr>
        <w:pStyle w:val="Heading1"/>
      </w:pPr>
      <w:bookmarkStart w:id="3" w:name="O_1196837"/>
      <w:bookmarkEnd w:id="3"/>
      <w:r w:rsidRPr="001D1EB2">
        <w:t>Knowledge Evidence</w:t>
      </w:r>
    </w:p>
    <w:p w:rsidR="00000000" w:rsidRPr="001D1EB2" w:rsidP="004D31E7">
      <w:pPr>
        <w:pStyle w:val="BodyText"/>
      </w:pPr>
      <w:r w:rsidRPr="001D1EB2">
        <w:t>To be competent in this unit, a candidate must demonstrate knowledge of:</w:t>
      </w:r>
    </w:p>
    <w:p w:rsidR="00000000" w:rsidRPr="001D1EB2" w:rsidP="001D1EB2">
      <w:pPr>
        <w:pStyle w:val="ListBullet"/>
      </w:pPr>
      <w:r w:rsidRPr="001D1EB2">
        <w:t>business stakeholders</w:t>
      </w:r>
    </w:p>
    <w:p w:rsidR="00000000" w:rsidRPr="001D1EB2" w:rsidP="001D1EB2">
      <w:pPr>
        <w:pStyle w:val="ListBullet"/>
      </w:pPr>
      <w:r w:rsidRPr="001D1EB2">
        <w:t>commonwealth, state and territory legislation, regulations, codes and standards that apply to sustainability:</w:t>
      </w:r>
    </w:p>
    <w:p w:rsidR="00000000" w:rsidRPr="001D1EB2" w:rsidP="001D1EB2">
      <w:pPr>
        <w:pStyle w:val="ListBullet2"/>
      </w:pPr>
      <w:r w:rsidRPr="001D1EB2">
        <w:t>environmental protection</w:t>
      </w:r>
    </w:p>
    <w:p w:rsidR="00000000" w:rsidRPr="001D1EB2" w:rsidP="001D1EB2">
      <w:pPr>
        <w:pStyle w:val="ListBullet2"/>
      </w:pPr>
      <w:r w:rsidRPr="001D1EB2">
        <w:t xml:space="preserve">ISO 14001 </w:t>
      </w:r>
      <w:r w:rsidRPr="001D1EB2">
        <w:rPr>
          <w:rStyle w:val="Emphasis"/>
        </w:rPr>
        <w:t>Environmental management systems – Requirements with guidance for use</w:t>
      </w:r>
      <w:r w:rsidRPr="001D1EB2">
        <w:t xml:space="preserve"> (or its successor)</w:t>
      </w:r>
    </w:p>
    <w:p w:rsidR="00000000" w:rsidRPr="001D1EB2" w:rsidP="001D1EB2">
      <w:pPr>
        <w:pStyle w:val="ListBullet"/>
      </w:pPr>
      <w:r w:rsidRPr="001D1EB2">
        <w:t xml:space="preserve">concepts and models </w:t>
      </w:r>
      <w:r w:rsidRPr="001D1EB2">
        <w:t>that address:</w:t>
      </w:r>
    </w:p>
    <w:p w:rsidR="00000000" w:rsidRPr="001D1EB2" w:rsidP="001D1EB2">
      <w:pPr>
        <w:pStyle w:val="ListBullet2"/>
      </w:pPr>
      <w:r w:rsidRPr="001D1EB2">
        <w:t>economic sustainability</w:t>
      </w:r>
    </w:p>
    <w:p w:rsidR="00000000" w:rsidRPr="001D1EB2" w:rsidP="001D1EB2">
      <w:pPr>
        <w:pStyle w:val="ListBullet2"/>
      </w:pPr>
      <w:r w:rsidRPr="001D1EB2">
        <w:t>social sustainability</w:t>
      </w:r>
    </w:p>
    <w:p w:rsidR="00000000" w:rsidRPr="001D1EB2" w:rsidP="001D1EB2">
      <w:pPr>
        <w:pStyle w:val="ListBullet2"/>
      </w:pPr>
      <w:r w:rsidRPr="001D1EB2">
        <w:t>environmental sustainability</w:t>
      </w:r>
    </w:p>
    <w:p w:rsidR="00000000" w:rsidRPr="001D1EB2" w:rsidP="001D1EB2">
      <w:pPr>
        <w:pStyle w:val="ListBullet"/>
      </w:pPr>
      <w:r w:rsidRPr="001D1EB2">
        <w:t>concepts and models of strategic and tactical business planning</w:t>
      </w:r>
    </w:p>
    <w:p w:rsidR="00000000" w:rsidRPr="001D1EB2" w:rsidP="001D1EB2">
      <w:pPr>
        <w:pStyle w:val="ListBullet"/>
      </w:pPr>
      <w:r w:rsidRPr="001D1EB2">
        <w:t>environmental and resource hazards</w:t>
      </w:r>
    </w:p>
    <w:p w:rsidR="00000000" w:rsidRPr="001D1EB2" w:rsidP="001D1EB2">
      <w:pPr>
        <w:pStyle w:val="ListBullet"/>
      </w:pPr>
      <w:r w:rsidRPr="001D1EB2">
        <w:t>governance and accountability models and processes that inform sus</w:t>
      </w:r>
      <w:r w:rsidRPr="001D1EB2">
        <w:t>tainability practices</w:t>
      </w:r>
    </w:p>
    <w:p w:rsidR="00000000" w:rsidRPr="001D1EB2" w:rsidP="001D1EB2">
      <w:pPr>
        <w:pStyle w:val="ListBullet"/>
      </w:pPr>
      <w:r w:rsidRPr="001D1EB2">
        <w:t>mechanisms to monitor client satisfaction</w:t>
      </w:r>
    </w:p>
    <w:p w:rsidR="00000000" w:rsidRPr="001D1EB2" w:rsidP="001D1EB2">
      <w:pPr>
        <w:pStyle w:val="ListBullet"/>
      </w:pPr>
      <w:r w:rsidRPr="001D1EB2">
        <w:t>performance characteristics and benefits of sustainable policies, products, services and processes</w:t>
      </w:r>
    </w:p>
    <w:p w:rsidR="00000000" w:rsidRPr="001D1EB2" w:rsidP="001D1EB2">
      <w:pPr>
        <w:pStyle w:val="ListBullet"/>
      </w:pPr>
      <w:r w:rsidRPr="001D1EB2">
        <w:t>principle</w:t>
      </w:r>
      <w:r w:rsidRPr="001D1EB2">
        <w:t>s and practices of sustainability within the construction and property services industries</w:t>
      </w:r>
    </w:p>
    <w:p w:rsidR="00000000" w:rsidRPr="001D1EB2" w:rsidP="001D1EB2">
      <w:pPr>
        <w:pStyle w:val="ListBullet"/>
      </w:pPr>
      <w:r w:rsidRPr="001D1EB2">
        <w:t>strategies for continuous improvement</w:t>
      </w:r>
    </w:p>
    <w:p w:rsidR="00000000" w:rsidRPr="001D1EB2" w:rsidP="001D1EB2">
      <w:pPr>
        <w:pStyle w:val="ListBullet"/>
      </w:pPr>
      <w:r w:rsidRPr="001D1EB2">
        <w:t>strategies to communicate and market sustainable products, services and practices</w:t>
      </w:r>
    </w:p>
    <w:p w:rsidR="00000000" w:rsidRPr="001D1EB2" w:rsidP="001D1EB2">
      <w:pPr>
        <w:pStyle w:val="ListBullet"/>
      </w:pPr>
      <w:r w:rsidRPr="001D1EB2">
        <w:t>techniques and models for research</w:t>
      </w:r>
    </w:p>
    <w:p w:rsidR="00000000" w:rsidRPr="001D1EB2" w:rsidP="001D1EB2">
      <w:pPr>
        <w:pStyle w:val="ListBullet"/>
      </w:pPr>
      <w:r w:rsidRPr="001D1EB2">
        <w:t xml:space="preserve">workplace </w:t>
      </w:r>
      <w:r w:rsidRPr="001D1EB2">
        <w:t>requirements for sustainable business operations:</w:t>
      </w:r>
    </w:p>
    <w:p w:rsidR="00000000" w:rsidRPr="001D1EB2" w:rsidP="001D1EB2">
      <w:pPr>
        <w:pStyle w:val="ListBullet2"/>
      </w:pPr>
      <w:r w:rsidRPr="001D1EB2">
        <w:t>client service</w:t>
      </w:r>
    </w:p>
    <w:p w:rsidR="00000000" w:rsidRPr="001D1EB2" w:rsidP="001D1EB2">
      <w:pPr>
        <w:pStyle w:val="ListBullet2"/>
      </w:pPr>
      <w:r w:rsidRPr="001D1EB2">
        <w:t>policies, practices, products and services that contribute to sustainability.</w:t>
      </w:r>
    </w:p>
    <w:p w:rsidR="00000000" w:rsidRPr="001D1EB2" w:rsidP="001D1EB2">
      <w:pPr>
        <w:pStyle w:val="AllowPageBreak"/>
      </w:pPr>
    </w:p>
    <w:p w:rsidR="00000000" w:rsidRPr="001D1EB2" w:rsidP="001D1EB2">
      <w:pPr>
        <w:pStyle w:val="Heading1"/>
      </w:pPr>
      <w:bookmarkStart w:id="4" w:name="O_1196836"/>
      <w:bookmarkEnd w:id="4"/>
      <w:r w:rsidRPr="001D1EB2">
        <w:t>Assessment Conditions</w:t>
      </w:r>
    </w:p>
    <w:p w:rsidR="00000000" w:rsidRPr="001D1EB2" w:rsidP="004D31E7">
      <w:pPr>
        <w:pStyle w:val="BodyText"/>
      </w:pPr>
      <w:r w:rsidRPr="001D1EB2">
        <w:t>Assessors must meet the requirements for assessors contained in the Sta</w:t>
      </w:r>
      <w:r w:rsidRPr="001D1EB2">
        <w:t xml:space="preserve">ndards for Registered Training Organisations. </w:t>
      </w:r>
    </w:p>
    <w:p w:rsidR="00000000" w:rsidRPr="001D1EB2" w:rsidP="004D31E7">
      <w:pPr>
        <w:pStyle w:val="BodyText"/>
      </w:pPr>
      <w:r w:rsidRPr="001D1EB2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1D1EB2" w:rsidP="004D31E7">
      <w:pPr>
        <w:pStyle w:val="BodyText"/>
      </w:pPr>
      <w:r w:rsidRPr="001D1EB2">
        <w:t>Can</w:t>
      </w:r>
      <w:r w:rsidRPr="001D1EB2">
        <w:t>didates must have access to documentation, information and technologies required to achieve the performance criteria and performance evidence.</w:t>
      </w:r>
    </w:p>
    <w:p w:rsidR="00000000" w:rsidRPr="001D1EB2" w:rsidP="001D1EB2">
      <w:pPr>
        <w:pStyle w:val="Heading1"/>
      </w:pPr>
      <w:bookmarkStart w:id="5" w:name="O_1196834"/>
      <w:bookmarkEnd w:id="5"/>
      <w:r w:rsidRPr="001D1EB2">
        <w:t>Links</w:t>
      </w:r>
    </w:p>
    <w:p w:rsidR="00000000" w:rsidRPr="001D1EB2" w:rsidP="004D31E7">
      <w:pPr>
        <w:pStyle w:val="BodyText"/>
      </w:pPr>
      <w:r w:rsidRPr="001D1EB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7125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D1EB2" w:rsidP="001D1EB2"/>
    <w:sectPr w:rsidSect="001D1E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B2" w:rsidRPr="004D31E7" w:rsidP="004D3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1E7" w:rsidP="001D1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31E7" w:rsidP="001D1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D31E7" w:rsidP="001D1E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EB2" w:rsidRPr="004D31E7" w:rsidP="004D3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1E7" w:rsidRPr="002D2AF8" w:rsidP="001D1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CPPCMN4013 Operate a sustainable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D31E7" w:rsidP="001D1E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7AA3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CA3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B2E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E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E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E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E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E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E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E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E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E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E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E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EB2"/>
  </w:style>
  <w:style w:type="character" w:customStyle="1" w:styleId="Heading1Char">
    <w:name w:val="Heading 1 Char"/>
    <w:basedOn w:val="DefaultParagraphFont"/>
    <w:link w:val="Heading1"/>
    <w:rsid w:val="001D1E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E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E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E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1E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1EB2"/>
    <w:rPr>
      <w:i/>
    </w:rPr>
  </w:style>
  <w:style w:type="paragraph" w:customStyle="1" w:styleId="SuperHeading">
    <w:name w:val="SuperHeading"/>
    <w:basedOn w:val="Normal"/>
    <w:rsid w:val="001D1E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E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E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E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E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E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E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E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E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E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E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E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E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E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E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E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E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E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1EB2"/>
    <w:rPr>
      <w:b/>
      <w:spacing w:val="0"/>
    </w:rPr>
  </w:style>
  <w:style w:type="paragraph" w:customStyle="1" w:styleId="SuperTitle">
    <w:name w:val="SuperTitle"/>
    <w:basedOn w:val="Title"/>
    <w:rsid w:val="001D1E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E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E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1E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E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E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E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E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E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E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E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E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1E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E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E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EB2"/>
  </w:style>
  <w:style w:type="paragraph" w:styleId="TableofFigures">
    <w:name w:val="table of figures"/>
    <w:basedOn w:val="Normal"/>
    <w:next w:val="Normal"/>
    <w:semiHidden/>
    <w:rsid w:val="001D1E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E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1EB2"/>
    <w:rPr>
      <w:rFonts w:ascii="Wingdings" w:hAnsi="Wingdings"/>
    </w:rPr>
  </w:style>
  <w:style w:type="paragraph" w:customStyle="1" w:styleId="TableHeading">
    <w:name w:val="Table Heading"/>
    <w:basedOn w:val="HeadingBase"/>
    <w:rsid w:val="001D1E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EB2"/>
    <w:rPr>
      <w:color w:val="0033CC"/>
      <w:u w:val="none"/>
    </w:rPr>
  </w:style>
  <w:style w:type="paragraph" w:customStyle="1" w:styleId="BodyTextRight">
    <w:name w:val="Body Text Right"/>
    <w:basedOn w:val="BodyText"/>
    <w:rsid w:val="001D1E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E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E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E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E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E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EB2"/>
    <w:rPr>
      <w:sz w:val="32"/>
    </w:rPr>
  </w:style>
  <w:style w:type="paragraph" w:customStyle="1" w:styleId="HeadingProcedure">
    <w:name w:val="Heading Procedure"/>
    <w:basedOn w:val="HeadingBase"/>
    <w:next w:val="Normal"/>
    <w:rsid w:val="001D1E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EB2"/>
    <w:pPr>
      <w:spacing w:before="60" w:after="60"/>
    </w:pPr>
  </w:style>
  <w:style w:type="paragraph" w:styleId="ListContinue">
    <w:name w:val="List Continue"/>
    <w:basedOn w:val="List"/>
    <w:rsid w:val="001D1EB2"/>
    <w:pPr>
      <w:ind w:firstLine="0"/>
    </w:pPr>
  </w:style>
  <w:style w:type="paragraph" w:customStyle="1" w:styleId="ListNote">
    <w:name w:val="List Note"/>
    <w:basedOn w:val="List"/>
    <w:rsid w:val="001D1E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E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E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EB2"/>
    <w:rPr>
      <w:rFonts w:ascii="Courier New" w:hAnsi="Courier New"/>
    </w:rPr>
  </w:style>
  <w:style w:type="paragraph" w:customStyle="1" w:styleId="NoteBullet">
    <w:name w:val="Note Bullet"/>
    <w:basedOn w:val="Note"/>
    <w:rsid w:val="001D1E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E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E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E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E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1E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E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EB2"/>
    <w:rPr>
      <w:b/>
      <w:smallCaps/>
    </w:rPr>
  </w:style>
  <w:style w:type="paragraph" w:customStyle="1" w:styleId="TableListNumber">
    <w:name w:val="Table List Number"/>
    <w:basedOn w:val="ListNumber"/>
    <w:rsid w:val="001D1E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E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EB2"/>
    <w:pPr>
      <w:numPr>
        <w:numId w:val="9"/>
      </w:numPr>
    </w:pPr>
  </w:style>
  <w:style w:type="paragraph" w:customStyle="1" w:styleId="ListAlpha2">
    <w:name w:val="List Alpha 2"/>
    <w:basedOn w:val="List2"/>
    <w:rsid w:val="001D1EB2"/>
    <w:pPr>
      <w:numPr>
        <w:numId w:val="8"/>
      </w:numPr>
    </w:pPr>
  </w:style>
  <w:style w:type="paragraph" w:styleId="List2">
    <w:name w:val="List 2"/>
    <w:basedOn w:val="BodyText"/>
    <w:rsid w:val="001D1E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E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E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E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E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E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1EB2"/>
    <w:pPr>
      <w:numPr>
        <w:numId w:val="4"/>
      </w:numPr>
    </w:pPr>
  </w:style>
  <w:style w:type="paragraph" w:styleId="ListContinue2">
    <w:name w:val="List Continue 2"/>
    <w:basedOn w:val="List2"/>
    <w:rsid w:val="001D1EB2"/>
    <w:pPr>
      <w:ind w:firstLine="0"/>
    </w:pPr>
  </w:style>
  <w:style w:type="paragraph" w:styleId="ListContinue3">
    <w:name w:val="List Continue 3"/>
    <w:basedOn w:val="List3"/>
    <w:rsid w:val="001D1EB2"/>
    <w:pPr>
      <w:ind w:left="1021" w:firstLine="0"/>
    </w:pPr>
  </w:style>
  <w:style w:type="paragraph" w:styleId="ListContinue4">
    <w:name w:val="List Continue 4"/>
    <w:basedOn w:val="List4"/>
    <w:rsid w:val="001D1EB2"/>
    <w:pPr>
      <w:ind w:firstLine="0"/>
    </w:pPr>
  </w:style>
  <w:style w:type="paragraph" w:styleId="ListContinue5">
    <w:name w:val="List Continue 5"/>
    <w:basedOn w:val="List5"/>
    <w:rsid w:val="001D1EB2"/>
    <w:pPr>
      <w:ind w:firstLine="0"/>
    </w:pPr>
  </w:style>
  <w:style w:type="paragraph" w:styleId="ListNumber3">
    <w:name w:val="List Number 3"/>
    <w:basedOn w:val="List3"/>
    <w:rsid w:val="001D1EB2"/>
    <w:pPr>
      <w:numPr>
        <w:numId w:val="5"/>
      </w:numPr>
    </w:pPr>
  </w:style>
  <w:style w:type="paragraph" w:styleId="ListNumber4">
    <w:name w:val="List Number 4"/>
    <w:basedOn w:val="List4"/>
    <w:rsid w:val="001D1EB2"/>
    <w:pPr>
      <w:numPr>
        <w:numId w:val="6"/>
      </w:numPr>
    </w:pPr>
  </w:style>
  <w:style w:type="paragraph" w:styleId="ListNumber5">
    <w:name w:val="List Number 5"/>
    <w:basedOn w:val="List5"/>
    <w:rsid w:val="001D1EB2"/>
    <w:pPr>
      <w:numPr>
        <w:numId w:val="7"/>
      </w:numPr>
    </w:pPr>
  </w:style>
  <w:style w:type="paragraph" w:styleId="BlockText">
    <w:name w:val="Block Text"/>
    <w:basedOn w:val="Normal"/>
    <w:rsid w:val="001D1E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E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EB2"/>
    <w:rPr>
      <w:sz w:val="16"/>
      <w:vertAlign w:val="superscript"/>
    </w:rPr>
  </w:style>
  <w:style w:type="character" w:customStyle="1" w:styleId="Symbols">
    <w:name w:val="Symbols"/>
    <w:basedOn w:val="DefaultParagraphFont"/>
    <w:rsid w:val="001D1EB2"/>
    <w:rPr>
      <w:rFonts w:ascii="Symbol" w:hAnsi="Symbol"/>
    </w:rPr>
  </w:style>
  <w:style w:type="character" w:customStyle="1" w:styleId="MenuOptions">
    <w:name w:val="Menu Options"/>
    <w:basedOn w:val="DefaultParagraphFont"/>
    <w:rsid w:val="001D1E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EB2"/>
    <w:rPr>
      <w:b/>
    </w:rPr>
  </w:style>
  <w:style w:type="character" w:customStyle="1" w:styleId="Underlined">
    <w:name w:val="Underlined"/>
    <w:basedOn w:val="DefaultParagraphFont"/>
    <w:rsid w:val="001D1EB2"/>
    <w:rPr>
      <w:u w:val="single"/>
    </w:rPr>
  </w:style>
  <w:style w:type="paragraph" w:customStyle="1" w:styleId="TableBodyTextRight">
    <w:name w:val="Table Body Text Right"/>
    <w:basedOn w:val="TableBodyText"/>
    <w:rsid w:val="001D1E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EB2"/>
    <w:rPr>
      <w:sz w:val="18"/>
    </w:rPr>
  </w:style>
  <w:style w:type="paragraph" w:customStyle="1" w:styleId="BodySmallRight">
    <w:name w:val="Body Small Right"/>
    <w:basedOn w:val="BodyTextRight"/>
    <w:rsid w:val="001D1EB2"/>
    <w:rPr>
      <w:sz w:val="18"/>
      <w:szCs w:val="18"/>
    </w:rPr>
  </w:style>
  <w:style w:type="paragraph" w:customStyle="1" w:styleId="MarginEdition">
    <w:name w:val="Margin Edition"/>
    <w:basedOn w:val="MarginNote"/>
    <w:rsid w:val="001D1E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EB2"/>
    <w:rPr>
      <w:sz w:val="2"/>
      <w:szCs w:val="2"/>
    </w:rPr>
  </w:style>
  <w:style w:type="character" w:customStyle="1" w:styleId="Small">
    <w:name w:val="Small"/>
    <w:basedOn w:val="DefaultParagraphFont"/>
    <w:rsid w:val="001D1EB2"/>
    <w:rPr>
      <w:sz w:val="16"/>
    </w:rPr>
  </w:style>
  <w:style w:type="paragraph" w:customStyle="1" w:styleId="WideTable">
    <w:name w:val="Wide Table"/>
    <w:basedOn w:val="Normal"/>
    <w:rsid w:val="001D1E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EB2"/>
  </w:style>
  <w:style w:type="paragraph" w:styleId="Quote">
    <w:name w:val="Quote"/>
    <w:basedOn w:val="Heading1"/>
    <w:link w:val="QuoteChar"/>
    <w:qFormat/>
    <w:rsid w:val="001D1E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E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EB2"/>
    <w:pPr>
      <w:pageBreakBefore/>
    </w:pPr>
  </w:style>
  <w:style w:type="paragraph" w:customStyle="1" w:styleId="Border">
    <w:name w:val="Border"/>
    <w:basedOn w:val="Normal"/>
    <w:qFormat/>
    <w:rsid w:val="001D1E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E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E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E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E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E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E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E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E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EB2"/>
    <w:rPr>
      <w:u w:val="single"/>
    </w:rPr>
  </w:style>
  <w:style w:type="character" w:customStyle="1" w:styleId="BoldandItalics">
    <w:name w:val="Bold and Italics"/>
    <w:qFormat/>
    <w:rsid w:val="001D1EB2"/>
    <w:rPr>
      <w:b/>
      <w:i/>
      <w:u w:val="none"/>
    </w:rPr>
  </w:style>
  <w:style w:type="paragraph" w:styleId="BalloonText">
    <w:name w:val="Balloon Text"/>
    <w:basedOn w:val="Normal"/>
    <w:link w:val="BalloonTextChar"/>
    <w:rsid w:val="001D1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E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E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E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E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E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EB2"/>
    <w:pPr>
      <w:spacing w:before="0" w:after="0"/>
    </w:pPr>
  </w:style>
  <w:style w:type="paragraph" w:customStyle="1" w:styleId="BodyTextBold">
    <w:name w:val="Body Text Bold"/>
    <w:basedOn w:val="BodyText"/>
    <w:qFormat/>
    <w:rsid w:val="001D1EB2"/>
    <w:rPr>
      <w:b/>
    </w:rPr>
  </w:style>
  <w:style w:type="character" w:styleId="Hyperlink">
    <w:name w:val="Hyperlink"/>
    <w:basedOn w:val="DefaultParagraphFont"/>
    <w:uiPriority w:val="99"/>
    <w:unhideWhenUsed/>
    <w:rsid w:val="004D3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2738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CPPCMN4013 Operate a sustainable business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2022-12-19T05:53:00Z</dcterms:created>
  <dcterms:modified xsi:type="dcterms:W3CDTF">2022-12-19T05:53:00Z</dcterms:modified>
</cp:coreProperties>
</file>