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405" w:rsidP="00E33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CPPCMN4012 Contribute to sustainable solutions throughout a building’s life cycle</w:t>
      </w:r>
      <w:r>
        <w:fldChar w:fldCharType="end"/>
      </w:r>
    </w:p>
    <w:p w:rsidR="00E33405" w:rsidP="00E33405">
      <w:pPr>
        <w:pStyle w:val="Version"/>
        <w:sectPr w:rsidSect="00DC4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83A" w:rsidP="00DC483A">
      <w:pPr>
        <w:pStyle w:val="SuperHeading"/>
      </w:pPr>
      <w:r w:rsidRPr="00DC483A">
        <w:t>CPPCMN4012 Contribute to sustainable solutions throughout a building</w:t>
      </w:r>
      <w:r>
        <w:t>’</w:t>
      </w:r>
      <w:r w:rsidRPr="00DC483A">
        <w:t>s life cycle</w:t>
      </w:r>
    </w:p>
    <w:p w:rsidR="00000000" w:rsidRPr="00DC483A" w:rsidP="00DC483A">
      <w:pPr>
        <w:pStyle w:val="Heading1"/>
      </w:pPr>
      <w:bookmarkStart w:id="1" w:name="O_1196822"/>
      <w:bookmarkEnd w:id="1"/>
      <w:r w:rsidRPr="00DC4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83A" w:rsidP="00DC483A">
            <w:pPr>
              <w:pStyle w:val="BodyText"/>
            </w:pPr>
            <w:r w:rsidRPr="00DC483A">
              <w:t>This version first released with CPP Property Services Training Package Release 15.0.</w:t>
            </w:r>
          </w:p>
          <w:p w:rsidR="00000000" w:rsidRPr="00DC483A" w:rsidP="00DC483A">
            <w:pPr>
              <w:pStyle w:val="BodyText"/>
            </w:pPr>
            <w:r w:rsidRPr="00DC483A">
              <w:t>Supersedes and is equivalent to CPPCMN4012A Contribute to sustainable solutions throughout a building’s life cycle.   Unit updated to meet the Standards for Training Packages 2012.</w:t>
            </w:r>
          </w:p>
        </w:tc>
      </w:tr>
    </w:tbl>
    <w:p w:rsidR="00000000" w:rsidRPr="00DC483A" w:rsidP="00DC483A">
      <w:pPr>
        <w:pStyle w:val="BodyText"/>
      </w:pPr>
    </w:p>
    <w:p w:rsidR="00000000" w:rsidRPr="00DC483A" w:rsidP="00DC483A">
      <w:pPr>
        <w:pStyle w:val="AllowPageBreak"/>
      </w:pPr>
    </w:p>
    <w:p w:rsidR="00000000" w:rsidRPr="00DC483A" w:rsidP="00DC483A">
      <w:pPr>
        <w:pStyle w:val="Heading1"/>
      </w:pPr>
      <w:bookmarkStart w:id="2" w:name="O_1196828"/>
      <w:bookmarkEnd w:id="2"/>
      <w:r w:rsidRPr="00DC483A">
        <w:t>Application</w:t>
      </w:r>
    </w:p>
    <w:p w:rsidR="00000000" w:rsidRPr="00DC483A" w:rsidP="00E33405">
      <w:pPr>
        <w:pStyle w:val="BodyText"/>
      </w:pPr>
      <w:r w:rsidRPr="00DC483A">
        <w:t>This unit of competency specifies the skil</w:t>
      </w:r>
      <w:r w:rsidRPr="00DC483A">
        <w:t>ls and knowledge required to participate in the implementation of policies and practices that are environmentally responsible and resource-efficient throughout a building’s life cycle, from construction to demolition. It includes researching and implementi</w:t>
      </w:r>
      <w:r w:rsidRPr="00DC483A">
        <w:t xml:space="preserve">ng policies and practices that address sustainability issues, enhance the internal environmental quality, reduce waste, use resources efficiently and include alternative and renewable energy solutions. Sustainable practices include retrofitting of ‘green’ </w:t>
      </w:r>
      <w:r w:rsidRPr="00DC483A">
        <w:t>solutions and building maintenance.</w:t>
      </w:r>
    </w:p>
    <w:p w:rsidR="00000000" w:rsidRPr="00DC483A" w:rsidP="00E33405">
      <w:pPr>
        <w:pStyle w:val="BodyText"/>
      </w:pPr>
      <w:r w:rsidRPr="00DC483A">
        <w:t>The unit supports individuals who work independently using specialised knowledge to implement sustainable solutions across a range of property services sectors.</w:t>
      </w:r>
    </w:p>
    <w:p w:rsidR="00000000" w:rsidRPr="00DC483A" w:rsidP="00E33405">
      <w:pPr>
        <w:pStyle w:val="BodyText"/>
      </w:pPr>
      <w:r w:rsidRPr="00DC483A">
        <w:t>No licensing, legislative or certification requirements app</w:t>
      </w:r>
      <w:r w:rsidRPr="00DC483A">
        <w:t>ly to this unit at the time of publication.</w:t>
      </w:r>
    </w:p>
    <w:p w:rsidR="00000000" w:rsidRPr="00DC483A" w:rsidP="00DC483A">
      <w:pPr>
        <w:pStyle w:val="Heading1"/>
      </w:pPr>
      <w:bookmarkStart w:id="3" w:name="O_1196827"/>
      <w:bookmarkEnd w:id="3"/>
      <w:r w:rsidRPr="00DC483A">
        <w:t>Pre-requisite Unit</w:t>
      </w:r>
    </w:p>
    <w:p w:rsidR="00000000" w:rsidRPr="00DC483A" w:rsidP="00E33405">
      <w:pPr>
        <w:pStyle w:val="BodyText"/>
      </w:pPr>
      <w:r w:rsidRPr="00DC483A">
        <w:t>Nil.</w:t>
      </w:r>
    </w:p>
    <w:p w:rsidR="00000000" w:rsidRPr="00DC483A" w:rsidP="00DC483A">
      <w:pPr>
        <w:pStyle w:val="Heading1"/>
      </w:pPr>
      <w:bookmarkStart w:id="4" w:name="O_1196826"/>
      <w:bookmarkEnd w:id="4"/>
      <w:r w:rsidRPr="00DC483A">
        <w:t>Unit Sector</w:t>
      </w:r>
    </w:p>
    <w:p w:rsidR="00000000" w:rsidRPr="00DC483A" w:rsidP="00E33405">
      <w:pPr>
        <w:pStyle w:val="BodyText"/>
      </w:pPr>
      <w:r w:rsidRPr="00DC483A">
        <w:t>Common.</w:t>
      </w:r>
    </w:p>
    <w:p w:rsidR="00000000" w:rsidRPr="00DC483A" w:rsidP="00DC483A">
      <w:pPr>
        <w:pStyle w:val="Heading1"/>
      </w:pPr>
      <w:bookmarkStart w:id="5" w:name="O_1196825"/>
      <w:bookmarkEnd w:id="5"/>
      <w:r w:rsidRPr="00DC48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"/>
        <w:gridCol w:w="2357"/>
        <w:gridCol w:w="804"/>
        <w:gridCol w:w="5659"/>
      </w:tblGrid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Performance criteria describe what needs to be done to demonstrate achievement of the element.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 xml:space="preserve">Develop understanding of environmental impacts during a </w:t>
            </w:r>
            <w:r w:rsidRPr="00DC483A">
              <w:t>building’s life cycle.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Research and document the purpose, benefits and practices of identifying a</w:t>
            </w:r>
            <w:r w:rsidRPr="00DC483A">
              <w:t xml:space="preserve">nd addressing the environmental impact of a building during its life cycle and use findings </w:t>
            </w:r>
            <w:r w:rsidRPr="00DC483A">
              <w:t>to inform client services.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Research and document concepts and models associated with the environmental life cycle of buildings and use findings to inform cli</w:t>
            </w:r>
            <w:r w:rsidRPr="00DC483A">
              <w:t>ent services.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Identify and assess the range of products and services available to support the sustainable and effective management of buildings.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Analyse and communicate effective environmental solutions.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Analyse the benefits of adopting strategies that contribute to reducing the environmental impact over a building’s life cycle and communicate findings to clients.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Analyse current workplace products or serv</w:t>
            </w:r>
            <w:r w:rsidRPr="00DC483A">
              <w:t>ices to identify benefits and contributions to reducing environmental impacts to meet client requirements.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Seek specialist advice from relevant persons, as required, to meet client requirements.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Support implementation of effective environmental solutions.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Provide advice to client on implementing recommended solutions to ensure environmental benefits are maximised.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Conduct checks to ensure environmental solutions comply with relevant reg</w:t>
            </w:r>
            <w:r w:rsidRPr="00DC483A">
              <w:t>ulatory requirements and industry best practice to ensure optimum environmental performance.</w:t>
            </w:r>
          </w:p>
        </w:tc>
      </w:tr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83A" w:rsidP="00DC483A">
            <w:pPr>
              <w:pStyle w:val="BodyText"/>
            </w:pPr>
            <w:r w:rsidRPr="00DC483A">
              <w:t xml:space="preserve">Provide relevant environmental solutions documentation, including ‘green’ certification and environmental performance ratings, to client and </w:t>
            </w:r>
            <w:r w:rsidRPr="00DC483A">
              <w:t>explain its purpose.</w:t>
            </w:r>
          </w:p>
        </w:tc>
      </w:tr>
    </w:tbl>
    <w:p w:rsidR="00000000" w:rsidRPr="00DC483A" w:rsidP="00DC483A">
      <w:pPr>
        <w:pStyle w:val="BodyText"/>
      </w:pPr>
    </w:p>
    <w:p w:rsidR="00000000" w:rsidRPr="00DC483A" w:rsidP="00DC483A">
      <w:pPr>
        <w:pStyle w:val="AllowPageBreak"/>
      </w:pPr>
    </w:p>
    <w:p w:rsidR="00000000" w:rsidRPr="00DC483A" w:rsidP="00DC483A">
      <w:pPr>
        <w:pStyle w:val="Heading1"/>
      </w:pPr>
      <w:bookmarkStart w:id="6" w:name="O_1196824"/>
      <w:bookmarkEnd w:id="6"/>
      <w:r w:rsidRPr="00DC483A">
        <w:t>Foundation Skills</w:t>
      </w:r>
    </w:p>
    <w:p w:rsidR="00000000" w:rsidRPr="00DC483A" w:rsidP="00E33405">
      <w:pPr>
        <w:pStyle w:val="BodyText"/>
      </w:pPr>
      <w:r w:rsidRPr="00DC483A">
        <w:t>Foundation skills essential to performance are explicit in the performance criteria of this unit of competency.</w:t>
      </w:r>
    </w:p>
    <w:p w:rsidR="00000000" w:rsidRPr="00DC483A" w:rsidP="00DC483A">
      <w:pPr>
        <w:pStyle w:val="Heading1"/>
      </w:pPr>
      <w:bookmarkStart w:id="7" w:name="O_1196823"/>
      <w:bookmarkEnd w:id="7"/>
      <w:r w:rsidRPr="00DC483A">
        <w:t>Unit Mapping Information</w:t>
      </w:r>
    </w:p>
    <w:p w:rsidR="00000000" w:rsidRPr="00DC483A" w:rsidP="00E33405">
      <w:pPr>
        <w:pStyle w:val="BodyText"/>
      </w:pPr>
      <w:r w:rsidRPr="00DC483A">
        <w:t>Supersedes and is equivalent to CPPCMN40</w:t>
      </w:r>
      <w:r w:rsidRPr="00DC483A">
        <w:t>12A Contribute to sustainable solutions throughout a building’s life cycle.</w:t>
      </w:r>
    </w:p>
    <w:p w:rsidR="00000000" w:rsidRPr="00DC483A" w:rsidP="00DC483A">
      <w:pPr>
        <w:pStyle w:val="Heading1"/>
      </w:pPr>
      <w:bookmarkStart w:id="8" w:name="O_1196816"/>
      <w:bookmarkEnd w:id="8"/>
      <w:r w:rsidRPr="00DC483A">
        <w:t>Links</w:t>
      </w:r>
    </w:p>
    <w:p w:rsidR="00000000" w:rsidRPr="00DC483A" w:rsidP="00E33405">
      <w:pPr>
        <w:pStyle w:val="BodyText"/>
      </w:pPr>
      <w:r w:rsidRPr="00DC48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F55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C483A" w:rsidP="00E33405">
      <w:pPr>
        <w:pStyle w:val="BodyText"/>
        <w:sectPr w:rsidSect="00DC48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483A" w:rsidP="00DC483A">
      <w:pPr>
        <w:pStyle w:val="SuperHeading"/>
      </w:pPr>
      <w:r w:rsidRPr="00DC483A">
        <w:t>Assessment Requirements for CPPCMN4012 Contribute to sustainable solutions throughout a building</w:t>
      </w:r>
      <w:r>
        <w:t>’</w:t>
      </w:r>
      <w:r w:rsidRPr="00DC483A">
        <w:t>s life cycle</w:t>
      </w:r>
    </w:p>
    <w:p w:rsidR="00000000" w:rsidRPr="00DC483A" w:rsidP="00DC483A">
      <w:pPr>
        <w:pStyle w:val="Heading1"/>
      </w:pPr>
      <w:bookmarkStart w:id="9" w:name="O_1196818"/>
      <w:bookmarkEnd w:id="9"/>
      <w:r w:rsidRPr="00DC4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DC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83A">
            <w:pPr>
              <w:pStyle w:val="BodyText"/>
              <w:rPr>
                <w:lang w:val="en-NZ"/>
              </w:rPr>
            </w:pPr>
            <w:r w:rsidRPr="00DC48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83A" w:rsidP="00DC483A">
            <w:pPr>
              <w:pStyle w:val="BodyText"/>
            </w:pPr>
            <w:r w:rsidRPr="00DC483A">
              <w:t>This version first released with CPP Property Services Training Package Release 15.0.</w:t>
            </w:r>
          </w:p>
          <w:p w:rsidR="00000000" w:rsidRPr="00DC483A" w:rsidP="00DC483A">
            <w:pPr>
              <w:pStyle w:val="BodyText"/>
            </w:pPr>
            <w:r w:rsidRPr="00DC483A">
              <w:t>Supersedes and is equivalent to CPPCMN4012A Contribute to sustainable solutions throughout a building’s life cycle.   Unit updated to meet the Standards for Training Pack</w:t>
            </w:r>
            <w:r w:rsidRPr="00DC483A">
              <w:t>ages 2012.</w:t>
            </w:r>
          </w:p>
        </w:tc>
      </w:tr>
    </w:tbl>
    <w:p w:rsidR="00000000" w:rsidRPr="00DC483A" w:rsidP="00DC483A">
      <w:pPr>
        <w:pStyle w:val="BodyText"/>
      </w:pPr>
    </w:p>
    <w:p w:rsidR="00000000" w:rsidRPr="00DC483A" w:rsidP="00DC483A">
      <w:pPr>
        <w:pStyle w:val="AllowPageBreak"/>
      </w:pPr>
    </w:p>
    <w:p w:rsidR="00000000" w:rsidRPr="00DC483A" w:rsidP="00DC483A">
      <w:pPr>
        <w:pStyle w:val="Heading1"/>
      </w:pPr>
      <w:bookmarkStart w:id="10" w:name="O_1196821"/>
      <w:bookmarkEnd w:id="10"/>
      <w:r w:rsidRPr="00DC483A">
        <w:t>Performance Evidence</w:t>
      </w:r>
    </w:p>
    <w:p w:rsidR="00000000" w:rsidRPr="00DC483A" w:rsidP="00E33405">
      <w:pPr>
        <w:pStyle w:val="BodyText"/>
      </w:pPr>
      <w:r w:rsidRPr="00DC483A">
        <w:t>To demonstrate competency, a candidate must meet the elements and performance criteria of this unit by contributing to environmentally effective solutions to improve the sustainability of a building duri</w:t>
      </w:r>
      <w:r w:rsidRPr="00DC483A">
        <w:t>ng its life cycle to meet the needs of two different clients.</w:t>
      </w:r>
    </w:p>
    <w:p w:rsidR="00000000" w:rsidRPr="00DC483A" w:rsidP="00DC483A">
      <w:pPr>
        <w:pStyle w:val="Heading1"/>
      </w:pPr>
      <w:bookmarkStart w:id="11" w:name="O_1196820"/>
      <w:bookmarkEnd w:id="11"/>
      <w:r w:rsidRPr="00DC483A">
        <w:t>Knowledge Evidence</w:t>
      </w:r>
    </w:p>
    <w:p w:rsidR="00000000" w:rsidRPr="00DC483A" w:rsidP="00E33405">
      <w:pPr>
        <w:pStyle w:val="BodyText"/>
      </w:pPr>
      <w:r w:rsidRPr="00DC483A">
        <w:t>To be competent in this unit, a candidate must demonstrate knowledge of:</w:t>
      </w:r>
    </w:p>
    <w:p w:rsidR="00000000" w:rsidRPr="00DC483A" w:rsidP="00DC483A">
      <w:pPr>
        <w:pStyle w:val="ListBullet"/>
      </w:pPr>
      <w:r w:rsidRPr="00DC483A">
        <w:t>commonwealth, state and territory legislation, regulations, codes and standards re</w:t>
      </w:r>
      <w:r w:rsidRPr="00DC483A">
        <w:t>levant to the sustainability of buildings:</w:t>
      </w:r>
    </w:p>
    <w:p w:rsidR="00000000" w:rsidRPr="00DC483A" w:rsidP="00DC483A">
      <w:pPr>
        <w:pStyle w:val="ListBullet2"/>
      </w:pPr>
      <w:r w:rsidRPr="00DC483A">
        <w:t>building control, including local government regulations and by-laws</w:t>
      </w:r>
    </w:p>
    <w:p w:rsidR="00000000" w:rsidRPr="00DC483A" w:rsidP="00DC483A">
      <w:pPr>
        <w:pStyle w:val="ListBullet2"/>
      </w:pPr>
      <w:r w:rsidRPr="00DC483A">
        <w:t>energy rating standards</w:t>
      </w:r>
    </w:p>
    <w:p w:rsidR="00000000" w:rsidRPr="00DC483A" w:rsidP="00DC483A">
      <w:pPr>
        <w:pStyle w:val="ListBullet2"/>
      </w:pPr>
      <w:r w:rsidRPr="00DC483A">
        <w:t>environmental protection</w:t>
      </w:r>
    </w:p>
    <w:p w:rsidR="00000000" w:rsidRPr="00DC483A" w:rsidP="00DC483A">
      <w:pPr>
        <w:pStyle w:val="ListBullet2"/>
      </w:pPr>
      <w:r w:rsidRPr="00DC483A">
        <w:t xml:space="preserve">ISO 14001 </w:t>
      </w:r>
      <w:r w:rsidRPr="00DC483A">
        <w:rPr>
          <w:rStyle w:val="Emphasis"/>
        </w:rPr>
        <w:t>Environmental management systems – Requirements with guidance for use</w:t>
      </w:r>
      <w:r w:rsidRPr="00DC483A">
        <w:t xml:space="preserve"> (or its successor)</w:t>
      </w:r>
    </w:p>
    <w:p w:rsidR="00000000" w:rsidRPr="00DC483A" w:rsidP="00DC483A">
      <w:pPr>
        <w:pStyle w:val="ListBullet2"/>
      </w:pPr>
      <w:r w:rsidRPr="00DC483A">
        <w:t>National Construction Code (NCC)</w:t>
      </w:r>
    </w:p>
    <w:p w:rsidR="00000000" w:rsidRPr="00DC483A" w:rsidP="00DC483A">
      <w:pPr>
        <w:pStyle w:val="ListBullet"/>
      </w:pPr>
      <w:r w:rsidRPr="00DC483A">
        <w:t>concepts and models of building life cycle management</w:t>
      </w:r>
    </w:p>
    <w:p w:rsidR="00000000" w:rsidRPr="00DC483A" w:rsidP="00DC483A">
      <w:pPr>
        <w:pStyle w:val="ListBullet"/>
      </w:pPr>
      <w:r w:rsidRPr="00DC483A">
        <w:t>concepts of risk management planning and processes</w:t>
      </w:r>
    </w:p>
    <w:p w:rsidR="00000000" w:rsidRPr="00DC483A" w:rsidP="00DC483A">
      <w:pPr>
        <w:pStyle w:val="ListBullet"/>
      </w:pPr>
      <w:r w:rsidRPr="00DC483A">
        <w:t>environmental and resource hazards</w:t>
      </w:r>
    </w:p>
    <w:p w:rsidR="00000000" w:rsidRPr="00DC483A" w:rsidP="00DC483A">
      <w:pPr>
        <w:pStyle w:val="ListBullet"/>
      </w:pPr>
      <w:r w:rsidRPr="00DC483A">
        <w:t>environmental life cycle of buildings</w:t>
      </w:r>
    </w:p>
    <w:p w:rsidR="00000000" w:rsidRPr="00DC483A" w:rsidP="00DC483A">
      <w:pPr>
        <w:pStyle w:val="ListBullet"/>
      </w:pPr>
      <w:r w:rsidRPr="00DC483A">
        <w:t>industry quality and bes</w:t>
      </w:r>
      <w:r w:rsidRPr="00DC483A">
        <w:t>t practice associated with building sustainability</w:t>
      </w:r>
    </w:p>
    <w:p w:rsidR="00000000" w:rsidRPr="00DC483A" w:rsidP="00DC483A">
      <w:pPr>
        <w:pStyle w:val="ListBullet"/>
      </w:pPr>
      <w:r w:rsidRPr="00DC483A">
        <w:t>meaning of ‘green’ solutions and strategies, tools and products to reduce the environmental impact of buildings</w:t>
      </w:r>
    </w:p>
    <w:p w:rsidR="00000000" w:rsidRPr="00DC483A" w:rsidP="00DC483A">
      <w:pPr>
        <w:pStyle w:val="ListBullet"/>
      </w:pPr>
      <w:r w:rsidRPr="00DC483A">
        <w:t>research techniques and methodologies</w:t>
      </w:r>
    </w:p>
    <w:p w:rsidR="00000000" w:rsidRPr="00DC483A" w:rsidP="00DC483A">
      <w:pPr>
        <w:pStyle w:val="ListBullet"/>
      </w:pPr>
      <w:r w:rsidRPr="00DC483A">
        <w:t>sustainability principles and practices commonly applie</w:t>
      </w:r>
      <w:r w:rsidRPr="00DC483A">
        <w:t>d in the construction and property services industries</w:t>
      </w:r>
    </w:p>
    <w:p w:rsidR="00000000" w:rsidRPr="00DC483A" w:rsidP="00DC483A">
      <w:pPr>
        <w:pStyle w:val="ListBullet"/>
      </w:pPr>
      <w:r w:rsidRPr="00DC483A">
        <w:t>workplace requirements for contributing to environmentally effective solutions to improve building sustainability:</w:t>
      </w:r>
    </w:p>
    <w:p w:rsidR="00000000" w:rsidRPr="00DC483A" w:rsidP="00DC483A">
      <w:pPr>
        <w:pStyle w:val="ListBullet2"/>
      </w:pPr>
      <w:r w:rsidRPr="00DC483A">
        <w:t>client service</w:t>
      </w:r>
    </w:p>
    <w:p w:rsidR="00000000" w:rsidRPr="00DC483A" w:rsidP="00DC483A">
      <w:pPr>
        <w:pStyle w:val="ListBullet2"/>
      </w:pPr>
      <w:r w:rsidRPr="00DC483A">
        <w:t>policies and procedures, products or services to support the sustainability of buildings.</w:t>
      </w:r>
    </w:p>
    <w:p w:rsidR="00000000" w:rsidRPr="00DC483A" w:rsidP="00DC483A">
      <w:pPr>
        <w:pStyle w:val="AllowPageBreak"/>
      </w:pPr>
    </w:p>
    <w:p w:rsidR="00000000" w:rsidRPr="00DC483A" w:rsidP="00DC483A">
      <w:pPr>
        <w:pStyle w:val="Heading1"/>
      </w:pPr>
      <w:bookmarkStart w:id="12" w:name="O_1196819"/>
      <w:bookmarkEnd w:id="12"/>
      <w:r w:rsidRPr="00DC483A">
        <w:t>Assessment Conditions</w:t>
      </w:r>
    </w:p>
    <w:p w:rsidR="00000000" w:rsidRPr="00DC483A" w:rsidP="00E33405">
      <w:pPr>
        <w:pStyle w:val="BodyText"/>
      </w:pPr>
      <w:r w:rsidRPr="00DC483A">
        <w:t xml:space="preserve">Assessors must meet the requirements for assessors contained in the Standards for Registered Training Organisations. </w:t>
      </w:r>
    </w:p>
    <w:p w:rsidR="00000000" w:rsidRPr="00DC483A" w:rsidP="00E33405">
      <w:pPr>
        <w:pStyle w:val="BodyText"/>
      </w:pPr>
      <w:r w:rsidRPr="00DC483A">
        <w:t>Assessm</w:t>
      </w:r>
      <w:r w:rsidRPr="00DC483A">
        <w:t>ent must be conducted in the workplace or a simulated workplace using realistic conditions, materials, activities, responsibilities, procedures, safety requirements and environmental considerations.</w:t>
      </w:r>
    </w:p>
    <w:p w:rsidR="00000000" w:rsidRPr="00DC483A" w:rsidP="00E33405">
      <w:pPr>
        <w:pStyle w:val="BodyText"/>
      </w:pPr>
      <w:r w:rsidRPr="00DC483A">
        <w:t>Candidates must have access to documentation, information</w:t>
      </w:r>
      <w:r w:rsidRPr="00DC483A">
        <w:t xml:space="preserve"> and technologies required to achieve the performance criteria and performance evidence.</w:t>
      </w:r>
    </w:p>
    <w:p w:rsidR="00000000" w:rsidRPr="00DC483A" w:rsidP="00DC483A">
      <w:pPr>
        <w:pStyle w:val="Heading1"/>
      </w:pPr>
      <w:bookmarkStart w:id="13" w:name="O_1196817"/>
      <w:bookmarkEnd w:id="13"/>
      <w:r w:rsidRPr="00DC483A">
        <w:t>Links</w:t>
      </w:r>
    </w:p>
    <w:p w:rsidR="00000000" w:rsidRPr="00DC483A" w:rsidP="00E33405">
      <w:pPr>
        <w:pStyle w:val="BodyText"/>
      </w:pPr>
      <w:r w:rsidRPr="00DC48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F55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C483A" w:rsidP="00DC483A"/>
    <w:sectPr w:rsidSect="00DC48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3A" w:rsidRPr="00E33405" w:rsidP="00E33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05" w:rsidP="00DC4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405" w:rsidP="00DC4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33405" w:rsidP="00DC48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3A" w:rsidP="00DC4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3405">
      <w:t>Approved</w:t>
    </w:r>
    <w:r w:rsidR="00E334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34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3405">
      <w:rPr>
        <w:noProof/>
      </w:rPr>
      <w:t>4</w:t>
    </w:r>
    <w:r>
      <w:rPr>
        <w:noProof/>
      </w:rPr>
      <w:fldChar w:fldCharType="end"/>
    </w:r>
  </w:p>
  <w:p w:rsidR="00DC483A" w:rsidP="00DC4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34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3405">
      <w:t>BuildSkills Australia</w:t>
    </w:r>
    <w:r w:rsidR="00E33405">
      <w:fldChar w:fldCharType="end"/>
    </w:r>
  </w:p>
  <w:p w:rsidR="00DC483A" w:rsidP="00DC4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83A" w:rsidRPr="00E33405" w:rsidP="00E33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05" w:rsidRPr="002D2AF8" w:rsidP="00DC4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CPPCMN4012 Contribute to sustainable solutions throughout a building's life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3405" w:rsidP="00DC48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3A" w:rsidRPr="002D2AF8" w:rsidP="00DC4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3405">
      <w:t>CPPCMN4012 Contribute to sustainable solutions throughout a building's life cycle</w:t>
    </w:r>
    <w:r w:rsidR="00E334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3405">
      <w:rPr>
        <w:noProof/>
      </w:rPr>
      <w:t>2 March 2025</w:t>
    </w:r>
    <w:r>
      <w:fldChar w:fldCharType="end"/>
    </w:r>
  </w:p>
  <w:p w:rsidR="00DC483A" w:rsidP="00DC4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BE42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7C0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E2C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83A"/>
  </w:style>
  <w:style w:type="character" w:customStyle="1" w:styleId="Heading1Char">
    <w:name w:val="Heading 1 Char"/>
    <w:basedOn w:val="DefaultParagraphFont"/>
    <w:link w:val="Heading1"/>
    <w:rsid w:val="00DC4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8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48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483A"/>
    <w:rPr>
      <w:i/>
    </w:rPr>
  </w:style>
  <w:style w:type="paragraph" w:customStyle="1" w:styleId="SuperHeading">
    <w:name w:val="SuperHeading"/>
    <w:basedOn w:val="Normal"/>
    <w:rsid w:val="00DC4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83A"/>
    <w:rPr>
      <w:b/>
      <w:spacing w:val="0"/>
    </w:rPr>
  </w:style>
  <w:style w:type="paragraph" w:customStyle="1" w:styleId="SuperTitle">
    <w:name w:val="SuperTitle"/>
    <w:basedOn w:val="Title"/>
    <w:rsid w:val="00DC4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83A"/>
  </w:style>
  <w:style w:type="paragraph" w:styleId="TableofFigures">
    <w:name w:val="table of figures"/>
    <w:basedOn w:val="Normal"/>
    <w:next w:val="Normal"/>
    <w:semiHidden/>
    <w:rsid w:val="00DC4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8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483A"/>
    <w:rPr>
      <w:rFonts w:ascii="Wingdings" w:hAnsi="Wingdings"/>
    </w:rPr>
  </w:style>
  <w:style w:type="paragraph" w:customStyle="1" w:styleId="TableHeading">
    <w:name w:val="Table Heading"/>
    <w:basedOn w:val="HeadingBase"/>
    <w:rsid w:val="00DC4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83A"/>
    <w:rPr>
      <w:color w:val="0033CC"/>
      <w:u w:val="none"/>
    </w:rPr>
  </w:style>
  <w:style w:type="paragraph" w:customStyle="1" w:styleId="BodyTextRight">
    <w:name w:val="Body Text Right"/>
    <w:basedOn w:val="BodyText"/>
    <w:rsid w:val="00DC4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8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83A"/>
    <w:rPr>
      <w:sz w:val="32"/>
    </w:rPr>
  </w:style>
  <w:style w:type="paragraph" w:customStyle="1" w:styleId="HeadingProcedure">
    <w:name w:val="Heading Procedure"/>
    <w:basedOn w:val="HeadingBase"/>
    <w:next w:val="Normal"/>
    <w:rsid w:val="00DC4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83A"/>
    <w:pPr>
      <w:spacing w:before="60" w:after="60"/>
    </w:pPr>
  </w:style>
  <w:style w:type="paragraph" w:styleId="ListContinue">
    <w:name w:val="List Continue"/>
    <w:basedOn w:val="List"/>
    <w:rsid w:val="00DC483A"/>
    <w:pPr>
      <w:ind w:firstLine="0"/>
    </w:pPr>
  </w:style>
  <w:style w:type="paragraph" w:customStyle="1" w:styleId="ListNote">
    <w:name w:val="List Note"/>
    <w:basedOn w:val="List"/>
    <w:rsid w:val="00DC4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83A"/>
    <w:rPr>
      <w:rFonts w:ascii="Courier New" w:hAnsi="Courier New"/>
    </w:rPr>
  </w:style>
  <w:style w:type="paragraph" w:customStyle="1" w:styleId="NoteBullet">
    <w:name w:val="Note Bullet"/>
    <w:basedOn w:val="Note"/>
    <w:rsid w:val="00DC4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8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83A"/>
    <w:rPr>
      <w:b/>
      <w:smallCaps/>
    </w:rPr>
  </w:style>
  <w:style w:type="paragraph" w:customStyle="1" w:styleId="TableListNumber">
    <w:name w:val="Table List Number"/>
    <w:basedOn w:val="ListNumber"/>
    <w:rsid w:val="00DC4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83A"/>
    <w:pPr>
      <w:numPr>
        <w:numId w:val="9"/>
      </w:numPr>
    </w:pPr>
  </w:style>
  <w:style w:type="paragraph" w:customStyle="1" w:styleId="ListAlpha2">
    <w:name w:val="List Alpha 2"/>
    <w:basedOn w:val="List2"/>
    <w:rsid w:val="00DC483A"/>
    <w:pPr>
      <w:numPr>
        <w:numId w:val="8"/>
      </w:numPr>
    </w:pPr>
  </w:style>
  <w:style w:type="paragraph" w:styleId="List2">
    <w:name w:val="List 2"/>
    <w:basedOn w:val="BodyText"/>
    <w:rsid w:val="00DC4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8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8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83A"/>
    <w:pPr>
      <w:numPr>
        <w:numId w:val="4"/>
      </w:numPr>
    </w:pPr>
  </w:style>
  <w:style w:type="paragraph" w:styleId="ListContinue2">
    <w:name w:val="List Continue 2"/>
    <w:basedOn w:val="List2"/>
    <w:rsid w:val="00DC483A"/>
    <w:pPr>
      <w:ind w:firstLine="0"/>
    </w:pPr>
  </w:style>
  <w:style w:type="paragraph" w:styleId="ListContinue3">
    <w:name w:val="List Continue 3"/>
    <w:basedOn w:val="List3"/>
    <w:rsid w:val="00DC483A"/>
    <w:pPr>
      <w:ind w:left="1021" w:firstLine="0"/>
    </w:pPr>
  </w:style>
  <w:style w:type="paragraph" w:styleId="ListContinue4">
    <w:name w:val="List Continue 4"/>
    <w:basedOn w:val="List4"/>
    <w:rsid w:val="00DC483A"/>
    <w:pPr>
      <w:ind w:firstLine="0"/>
    </w:pPr>
  </w:style>
  <w:style w:type="paragraph" w:styleId="ListContinue5">
    <w:name w:val="List Continue 5"/>
    <w:basedOn w:val="List5"/>
    <w:rsid w:val="00DC483A"/>
    <w:pPr>
      <w:ind w:firstLine="0"/>
    </w:pPr>
  </w:style>
  <w:style w:type="paragraph" w:styleId="ListNumber3">
    <w:name w:val="List Number 3"/>
    <w:basedOn w:val="List3"/>
    <w:rsid w:val="00DC483A"/>
    <w:pPr>
      <w:numPr>
        <w:numId w:val="5"/>
      </w:numPr>
    </w:pPr>
  </w:style>
  <w:style w:type="paragraph" w:styleId="ListNumber4">
    <w:name w:val="List Number 4"/>
    <w:basedOn w:val="List4"/>
    <w:rsid w:val="00DC483A"/>
    <w:pPr>
      <w:numPr>
        <w:numId w:val="6"/>
      </w:numPr>
    </w:pPr>
  </w:style>
  <w:style w:type="paragraph" w:styleId="ListNumber5">
    <w:name w:val="List Number 5"/>
    <w:basedOn w:val="List5"/>
    <w:rsid w:val="00DC483A"/>
    <w:pPr>
      <w:numPr>
        <w:numId w:val="7"/>
      </w:numPr>
    </w:pPr>
  </w:style>
  <w:style w:type="paragraph" w:styleId="BlockText">
    <w:name w:val="Block Text"/>
    <w:basedOn w:val="Normal"/>
    <w:rsid w:val="00DC4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83A"/>
    <w:rPr>
      <w:sz w:val="16"/>
      <w:vertAlign w:val="superscript"/>
    </w:rPr>
  </w:style>
  <w:style w:type="character" w:customStyle="1" w:styleId="Symbols">
    <w:name w:val="Symbols"/>
    <w:basedOn w:val="DefaultParagraphFont"/>
    <w:rsid w:val="00DC483A"/>
    <w:rPr>
      <w:rFonts w:ascii="Symbol" w:hAnsi="Symbol"/>
    </w:rPr>
  </w:style>
  <w:style w:type="character" w:customStyle="1" w:styleId="MenuOptions">
    <w:name w:val="Menu Options"/>
    <w:basedOn w:val="DefaultParagraphFont"/>
    <w:rsid w:val="00DC4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83A"/>
    <w:rPr>
      <w:b/>
    </w:rPr>
  </w:style>
  <w:style w:type="character" w:customStyle="1" w:styleId="Underlined">
    <w:name w:val="Underlined"/>
    <w:basedOn w:val="DefaultParagraphFont"/>
    <w:rsid w:val="00DC483A"/>
    <w:rPr>
      <w:u w:val="single"/>
    </w:rPr>
  </w:style>
  <w:style w:type="paragraph" w:customStyle="1" w:styleId="TableBodyTextRight">
    <w:name w:val="Table Body Text Right"/>
    <w:basedOn w:val="TableBodyText"/>
    <w:rsid w:val="00DC4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83A"/>
    <w:rPr>
      <w:sz w:val="18"/>
    </w:rPr>
  </w:style>
  <w:style w:type="paragraph" w:customStyle="1" w:styleId="BodySmallRight">
    <w:name w:val="Body Small Right"/>
    <w:basedOn w:val="BodyTextRight"/>
    <w:rsid w:val="00DC483A"/>
    <w:rPr>
      <w:sz w:val="18"/>
      <w:szCs w:val="18"/>
    </w:rPr>
  </w:style>
  <w:style w:type="paragraph" w:customStyle="1" w:styleId="MarginEdition">
    <w:name w:val="Margin Edition"/>
    <w:basedOn w:val="MarginNote"/>
    <w:rsid w:val="00DC4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83A"/>
    <w:rPr>
      <w:sz w:val="2"/>
      <w:szCs w:val="2"/>
    </w:rPr>
  </w:style>
  <w:style w:type="character" w:customStyle="1" w:styleId="Small">
    <w:name w:val="Small"/>
    <w:basedOn w:val="DefaultParagraphFont"/>
    <w:rsid w:val="00DC483A"/>
    <w:rPr>
      <w:sz w:val="16"/>
    </w:rPr>
  </w:style>
  <w:style w:type="paragraph" w:customStyle="1" w:styleId="WideTable">
    <w:name w:val="Wide Table"/>
    <w:basedOn w:val="Normal"/>
    <w:rsid w:val="00DC4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83A"/>
  </w:style>
  <w:style w:type="paragraph" w:styleId="Quote">
    <w:name w:val="Quote"/>
    <w:basedOn w:val="Heading1"/>
    <w:link w:val="QuoteChar"/>
    <w:qFormat/>
    <w:rsid w:val="00DC4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83A"/>
    <w:pPr>
      <w:pageBreakBefore/>
    </w:pPr>
  </w:style>
  <w:style w:type="paragraph" w:customStyle="1" w:styleId="Border">
    <w:name w:val="Border"/>
    <w:basedOn w:val="Normal"/>
    <w:qFormat/>
    <w:rsid w:val="00DC4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83A"/>
    <w:rPr>
      <w:u w:val="single"/>
    </w:rPr>
  </w:style>
  <w:style w:type="character" w:customStyle="1" w:styleId="BoldandItalics">
    <w:name w:val="Bold and Italics"/>
    <w:qFormat/>
    <w:rsid w:val="00DC483A"/>
    <w:rPr>
      <w:b/>
      <w:i/>
      <w:u w:val="none"/>
    </w:rPr>
  </w:style>
  <w:style w:type="paragraph" w:styleId="BalloonText">
    <w:name w:val="Balloon Text"/>
    <w:basedOn w:val="Normal"/>
    <w:link w:val="BalloonTextChar"/>
    <w:rsid w:val="00DC4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83A"/>
    <w:pPr>
      <w:spacing w:before="0" w:after="0"/>
    </w:pPr>
  </w:style>
  <w:style w:type="paragraph" w:customStyle="1" w:styleId="BodyTextBold">
    <w:name w:val="Body Text Bold"/>
    <w:basedOn w:val="BodyText"/>
    <w:qFormat/>
    <w:rsid w:val="00DC483A"/>
    <w:rPr>
      <w:b/>
    </w:rPr>
  </w:style>
  <w:style w:type="character" w:styleId="Hyperlink">
    <w:name w:val="Hyperlink"/>
    <w:basedOn w:val="DefaultParagraphFont"/>
    <w:uiPriority w:val="99"/>
    <w:unhideWhenUsed/>
    <w:rsid w:val="00E33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5591</Characters>
  <Application>Microsoft Office Word</Application>
  <DocSecurity>0</DocSecurity>
  <Lines>186</Lines>
  <Paragraphs>95</Paragraphs>
  <ScaleCrop>false</ScaleCrop>
  <Company>Author-it Software Corporation Ltd.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CPPCMN4012 Contribute to sustainable solutions throughout a building's life cycle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2025-03-01T13:52:00Z</dcterms:created>
  <dcterms:modified xsi:type="dcterms:W3CDTF">2025-03-01T13:52:00Z</dcterms:modified>
</cp:coreProperties>
</file>