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7905" w:rsidP="003E7905">
      <w:pPr>
        <w:pStyle w:val="Title"/>
      </w:pPr>
      <w:r>
        <w:fldChar w:fldCharType="begin"/>
      </w:r>
      <w:r>
        <w:instrText xml:space="preserve"> TITLE   \* MERGEFORMAT </w:instrText>
      </w:r>
      <w:r>
        <w:fldChar w:fldCharType="separate"/>
      </w:r>
      <w:r>
        <w:t>CPPCMN4001 Develop workplace policies and procedures for sustainability</w:t>
      </w:r>
      <w:r>
        <w:fldChar w:fldCharType="end"/>
      </w:r>
    </w:p>
    <w:p w:rsidR="003E7905" w:rsidP="003E7905">
      <w:pPr>
        <w:pStyle w:val="Version"/>
        <w:sectPr w:rsidSect="00B01B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1B43" w:rsidP="00B01B43">
      <w:pPr>
        <w:pStyle w:val="SuperHeading"/>
      </w:pPr>
      <w:r w:rsidRPr="00B01B43">
        <w:t>CPPCMN4001 Develop workplace policies and procedures for sustainability</w:t>
      </w:r>
    </w:p>
    <w:p w:rsidR="00000000" w:rsidRPr="00B01B43" w:rsidP="00B01B43">
      <w:pPr>
        <w:pStyle w:val="Heading1"/>
      </w:pPr>
      <w:bookmarkStart w:id="1" w:name="O_857065"/>
      <w:bookmarkEnd w:id="1"/>
      <w:r w:rsidRPr="00B01B43">
        <w:t>Modification History</w:t>
      </w:r>
    </w:p>
    <w:p w:rsidR="00000000" w:rsidRPr="00B01B43" w:rsidP="003E7905">
      <w:pPr>
        <w:pStyle w:val="BodyText"/>
      </w:pPr>
      <w:r w:rsidRPr="00B01B43">
        <w:t>Release 1.</w:t>
      </w:r>
    </w:p>
    <w:p w:rsidR="00000000" w:rsidRPr="00B01B43" w:rsidP="003E7905">
      <w:pPr>
        <w:pStyle w:val="BodyText"/>
      </w:pPr>
      <w:r w:rsidRPr="00B01B43">
        <w:t>Revised unit of competency replacing superseded equivalent CPPCMN4001B Develop workplace policies and procedures for sustainability.</w:t>
      </w:r>
    </w:p>
    <w:p w:rsidR="00000000" w:rsidRPr="00B01B43" w:rsidP="003E7905">
      <w:pPr>
        <w:pStyle w:val="BodyText"/>
      </w:pPr>
      <w:r w:rsidRPr="00B01B43">
        <w:t>This version first released with CPP Property Services Training Package Version 4.</w:t>
      </w:r>
    </w:p>
    <w:p w:rsidR="00000000" w:rsidRPr="00B01B43" w:rsidP="00B01B43">
      <w:pPr>
        <w:pStyle w:val="Heading1"/>
      </w:pPr>
      <w:bookmarkStart w:id="2" w:name="O_857072"/>
      <w:bookmarkEnd w:id="2"/>
      <w:r w:rsidRPr="00B01B43">
        <w:t>Application</w:t>
      </w:r>
    </w:p>
    <w:p w:rsidR="00000000" w:rsidRPr="00B01B43" w:rsidP="003E7905">
      <w:pPr>
        <w:pStyle w:val="BodyText"/>
      </w:pPr>
      <w:r w:rsidRPr="00B01B43">
        <w:t xml:space="preserve">This unit of competency specifies the outcomes required to develop a workplace sustainability policy to minimise and reduce resources and toxic </w:t>
      </w:r>
      <w:r w:rsidRPr="00B01B43">
        <w:t>materials used during work functions. The unit supports the development of skills to review legislation and develop and communicate workplace policies and procedures relating to environmental sustainability.</w:t>
      </w:r>
    </w:p>
    <w:p w:rsidR="00000000" w:rsidRPr="00B01B43" w:rsidP="003E7905">
      <w:pPr>
        <w:pStyle w:val="BodyText"/>
      </w:pPr>
      <w:r w:rsidRPr="00B01B43">
        <w:t>The unit supports staff responsible for ensurin</w:t>
      </w:r>
      <w:r w:rsidRPr="00B01B43">
        <w:t>g policies and procedures comply with environmental legislative requirements and that sustainability targets are achieved. It applies in a range of commercial and residential work sites.</w:t>
      </w:r>
    </w:p>
    <w:p w:rsidR="00000000" w:rsidRPr="00B01B43" w:rsidP="003E7905">
      <w:pPr>
        <w:pStyle w:val="BodyText"/>
      </w:pPr>
      <w:r w:rsidRPr="00B01B43">
        <w:t xml:space="preserve">No licensing, legislative, regulatory or certification requirements </w:t>
      </w:r>
      <w:r w:rsidRPr="00B01B43">
        <w:t>apply to this unit at the time of endorsement.</w:t>
      </w:r>
    </w:p>
    <w:p w:rsidR="00000000" w:rsidRPr="00B01B43" w:rsidP="00B01B43">
      <w:pPr>
        <w:pStyle w:val="Heading1"/>
      </w:pPr>
      <w:bookmarkStart w:id="3" w:name="O_857071"/>
      <w:bookmarkEnd w:id="3"/>
      <w:r w:rsidRPr="00B01B43">
        <w:t>Pre-requisite Unit</w:t>
      </w:r>
    </w:p>
    <w:p w:rsidR="00000000" w:rsidRPr="00B01B43" w:rsidP="003E7905">
      <w:pPr>
        <w:pStyle w:val="BodyText"/>
      </w:pPr>
      <w:r w:rsidRPr="00B01B43">
        <w:t>Nil</w:t>
      </w:r>
    </w:p>
    <w:p w:rsidR="00000000" w:rsidRPr="00B01B43" w:rsidP="00B01B43">
      <w:pPr>
        <w:pStyle w:val="Heading1"/>
      </w:pPr>
      <w:bookmarkStart w:id="4" w:name="O_857070"/>
      <w:bookmarkEnd w:id="4"/>
      <w:r w:rsidRPr="00B01B43">
        <w:t>Unit Sector</w:t>
      </w:r>
    </w:p>
    <w:p w:rsidR="00000000" w:rsidRPr="00B01B43" w:rsidP="003E7905">
      <w:pPr>
        <w:pStyle w:val="BodyText"/>
      </w:pPr>
      <w:r w:rsidRPr="00B01B43">
        <w:t>Common</w:t>
      </w:r>
    </w:p>
    <w:p w:rsidR="00000000" w:rsidRPr="00B01B43" w:rsidP="00B01B43">
      <w:pPr>
        <w:pStyle w:val="Heading1"/>
      </w:pPr>
      <w:bookmarkStart w:id="5" w:name="O_857069"/>
      <w:bookmarkEnd w:id="5"/>
      <w:r w:rsidRPr="00B01B43">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B01B43">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Performance criteria describe the perfo</w:t>
            </w:r>
            <w:r w:rsidRPr="00B01B43">
              <w:t>rmance needed to demonstrate achievement of the element. Where bold italicised text is used, further information is detailed in the range of conditions.</w:t>
            </w:r>
          </w:p>
        </w:tc>
      </w:tr>
      <w:tr w:rsidTr="00B01B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1.</w:t>
            </w:r>
          </w:p>
        </w:tc>
        <w:tc>
          <w:tcPr>
            <w:tcW w:w="1962"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Identify scope of sustainability policy.</w:t>
            </w:r>
          </w:p>
        </w:tc>
        <w:tc>
          <w:tcPr>
            <w:tcW w:w="770"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1.1.</w:t>
            </w:r>
          </w:p>
        </w:tc>
        <w:tc>
          <w:tcPr>
            <w:tcW w:w="5610"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Company’</w:t>
            </w:r>
            <w:r w:rsidRPr="00B01B43">
              <w:t>s commitment to sustainability and sustainability objectives is identified and confirmed in consultation with required personnel.</w:t>
            </w:r>
          </w:p>
        </w:tc>
      </w:tr>
      <w:tr w:rsidTr="00B01B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01B43" w:rsidP="00B01B43">
            <w:pPr>
              <w:pStyle w:val="BodyText"/>
            </w:pPr>
            <w:r w:rsidRPr="00B01B43">
              <w:t>1.2.</w:t>
            </w:r>
          </w:p>
        </w:tc>
        <w:tc>
          <w:tcPr>
            <w:tcW w:w="5610"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rPr>
                <w:rStyle w:val="BoldandItalics"/>
              </w:rPr>
              <w:t>Existing internal policies and procedures</w:t>
            </w:r>
            <w:r w:rsidRPr="00B01B43">
              <w:t xml:space="preserve"> are identified and reviewed for relevance and impact on sustainability polic</w:t>
            </w:r>
            <w:r w:rsidRPr="00B01B43">
              <w:t>y.</w:t>
            </w:r>
          </w:p>
        </w:tc>
      </w:tr>
      <w:tr w:rsidTr="00B01B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1.3.</w:t>
            </w:r>
          </w:p>
        </w:tc>
        <w:tc>
          <w:tcPr>
            <w:tcW w:w="5610"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 xml:space="preserve">Impact of requirements of </w:t>
            </w:r>
            <w:r w:rsidRPr="00B01B43">
              <w:rPr>
                <w:rStyle w:val="BoldandItalics"/>
              </w:rPr>
              <w:t>environmental and sustainability legislation, standards and codes of practice</w:t>
            </w:r>
            <w:r w:rsidRPr="00B01B43">
              <w:t xml:space="preserve"> is reviewed to inform practices and policy development.</w:t>
            </w:r>
          </w:p>
        </w:tc>
      </w:tr>
      <w:tr w:rsidTr="00B01B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1.4.</w:t>
            </w:r>
          </w:p>
        </w:tc>
        <w:tc>
          <w:tcPr>
            <w:tcW w:w="5610"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 xml:space="preserve">Relevant </w:t>
            </w:r>
            <w:r w:rsidRPr="00B01B43">
              <w:rPr>
                <w:rStyle w:val="BoldandItalics"/>
              </w:rPr>
              <w:t>stakeholders</w:t>
            </w:r>
            <w:r w:rsidRPr="00B01B43">
              <w:t xml:space="preserve"> are identified and consulted as a key component of policy development process.</w:t>
            </w:r>
          </w:p>
        </w:tc>
      </w:tr>
      <w:tr w:rsidTr="00B01B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2.</w:t>
            </w:r>
          </w:p>
        </w:tc>
        <w:tc>
          <w:tcPr>
            <w:tcW w:w="1962" w:type="dxa"/>
            <w:vMerge w:val="restart"/>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Develop sustainability policy.</w:t>
            </w:r>
          </w:p>
        </w:tc>
        <w:tc>
          <w:tcPr>
            <w:tcW w:w="770"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2.1.</w:t>
            </w:r>
          </w:p>
        </w:tc>
        <w:tc>
          <w:tcPr>
            <w:tcW w:w="5610"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Strategies are developed and documented for minimising resource use and reducing toxic material and hazardous chemical use at all stages</w:t>
            </w:r>
            <w:r w:rsidRPr="00B01B43">
              <w:t xml:space="preserve"> of work.</w:t>
            </w:r>
          </w:p>
        </w:tc>
      </w:tr>
      <w:tr w:rsidTr="00B01B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2.2.</w:t>
            </w:r>
          </w:p>
        </w:tc>
        <w:tc>
          <w:tcPr>
            <w:tcW w:w="5610"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Recommendations are made for policy options and benchmark indicators based on likely effectiveness, timeframes and cost.</w:t>
            </w:r>
          </w:p>
        </w:tc>
      </w:tr>
      <w:tr w:rsidTr="00B01B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2.3.</w:t>
            </w:r>
          </w:p>
        </w:tc>
        <w:tc>
          <w:tcPr>
            <w:tcW w:w="5610"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Policy is developed that reflects organisational commitment to sustainability.</w:t>
            </w:r>
          </w:p>
        </w:tc>
      </w:tr>
      <w:tr w:rsidTr="00B01B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3.</w:t>
            </w:r>
          </w:p>
        </w:tc>
        <w:tc>
          <w:tcPr>
            <w:tcW w:w="1962" w:type="dxa"/>
            <w:vMerge w:val="restart"/>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Communicate policy.</w:t>
            </w:r>
          </w:p>
        </w:tc>
        <w:tc>
          <w:tcPr>
            <w:tcW w:w="770"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3.1.</w:t>
            </w:r>
          </w:p>
        </w:tc>
        <w:tc>
          <w:tcPr>
            <w:tcW w:w="5610"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Policy and its expected outcomes are promoted to key stakeholders.</w:t>
            </w:r>
          </w:p>
        </w:tc>
      </w:tr>
      <w:tr w:rsidTr="00B01B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3.2.</w:t>
            </w:r>
          </w:p>
        </w:tc>
        <w:tc>
          <w:tcPr>
            <w:tcW w:w="5610"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Those involved in implementing policy are informed of expected outcomes, activities to be undertaken, and assigned responsibilities.</w:t>
            </w:r>
          </w:p>
        </w:tc>
      </w:tr>
      <w:tr w:rsidTr="00B01B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4.</w:t>
            </w:r>
          </w:p>
        </w:tc>
        <w:tc>
          <w:tcPr>
            <w:tcW w:w="1962" w:type="dxa"/>
            <w:vMerge w:val="restart"/>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Develop sustainability procedures.</w:t>
            </w:r>
          </w:p>
        </w:tc>
        <w:tc>
          <w:tcPr>
            <w:tcW w:w="770"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4.1.</w:t>
            </w:r>
          </w:p>
        </w:tc>
        <w:tc>
          <w:tcPr>
            <w:tcW w:w="5610"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Procedures to help implement policy are developed and documented, and communicated to required personnel.</w:t>
            </w:r>
          </w:p>
        </w:tc>
      </w:tr>
      <w:tr w:rsidTr="00B01B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4.2.</w:t>
            </w:r>
          </w:p>
        </w:tc>
        <w:tc>
          <w:tcPr>
            <w:tcW w:w="5610"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Staff coaching and training on sustainability expectations are conducted or arranged as required.</w:t>
            </w:r>
          </w:p>
        </w:tc>
      </w:tr>
      <w:tr w:rsidTr="00B01B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4.3.</w:t>
            </w:r>
          </w:p>
        </w:tc>
        <w:tc>
          <w:tcPr>
            <w:tcW w:w="5610"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Mechanisms for tracking resource usa</w:t>
            </w:r>
            <w:r w:rsidRPr="00B01B43">
              <w:t>ge and wastage are established and monitored.</w:t>
            </w:r>
          </w:p>
        </w:tc>
      </w:tr>
      <w:tr w:rsidTr="00B01B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4.4</w:t>
            </w:r>
          </w:p>
        </w:tc>
        <w:tc>
          <w:tcPr>
            <w:tcW w:w="5610"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Opportunities for continuous improvement in resource efficiency are identified and actioned.</w:t>
            </w:r>
          </w:p>
        </w:tc>
      </w:tr>
      <w:tr w:rsidTr="00B01B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5.</w:t>
            </w:r>
          </w:p>
        </w:tc>
        <w:tc>
          <w:tcPr>
            <w:tcW w:w="1962" w:type="dxa"/>
            <w:vMerge w:val="restart"/>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Review sustainability policy.</w:t>
            </w:r>
          </w:p>
        </w:tc>
        <w:tc>
          <w:tcPr>
            <w:tcW w:w="770"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5.1.</w:t>
            </w:r>
          </w:p>
        </w:tc>
        <w:tc>
          <w:tcPr>
            <w:tcW w:w="5610"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Processes, including timeline for reviewing policy implementation, are documented and required personnel are briefed on roles and responsibilities.</w:t>
            </w:r>
          </w:p>
        </w:tc>
      </w:tr>
      <w:tr w:rsidTr="00B01B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5.2.</w:t>
            </w:r>
          </w:p>
        </w:tc>
        <w:tc>
          <w:tcPr>
            <w:tcW w:w="5610"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Data on resource usage and waste minimisation efforts over specified timeframes is collated, analyse</w:t>
            </w:r>
            <w:r w:rsidRPr="00B01B43">
              <w:t>d and documented.</w:t>
            </w:r>
          </w:p>
        </w:tc>
      </w:tr>
      <w:tr w:rsidTr="00B01B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5.3.</w:t>
            </w:r>
          </w:p>
        </w:tc>
        <w:tc>
          <w:tcPr>
            <w:tcW w:w="5610"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Records are monitored to identify trends that may require remedial action, and used to promote continuous improvement of performance.</w:t>
            </w:r>
          </w:p>
        </w:tc>
      </w:tr>
      <w:tr w:rsidTr="00B01B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5.4.</w:t>
            </w:r>
          </w:p>
        </w:tc>
        <w:tc>
          <w:tcPr>
            <w:tcW w:w="5610"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Sustainability outcomes are reported according to company requirements.</w:t>
            </w:r>
          </w:p>
        </w:tc>
      </w:tr>
      <w:tr w:rsidTr="00B01B4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5.5.</w:t>
            </w:r>
          </w:p>
        </w:tc>
        <w:tc>
          <w:tcPr>
            <w:tcW w:w="5610" w:type="dxa"/>
            <w:tcBorders>
              <w:top w:val="nil"/>
              <w:left w:val="nil"/>
              <w:bottom w:val="nil"/>
              <w:right w:val="nil"/>
            </w:tcBorders>
            <w:tcMar>
              <w:top w:w="0" w:type="dxa"/>
              <w:left w:w="62" w:type="dxa"/>
              <w:bottom w:w="0" w:type="dxa"/>
              <w:right w:w="62" w:type="dxa"/>
            </w:tcMar>
          </w:tcPr>
          <w:p w:rsidR="00000000" w:rsidRPr="00B01B43" w:rsidP="00B01B43">
            <w:pPr>
              <w:pStyle w:val="BodyText"/>
            </w:pPr>
            <w:r w:rsidRPr="00B01B43">
              <w:t>Policy and procedures are modified as required to ensure improvements are made.</w:t>
            </w:r>
          </w:p>
        </w:tc>
      </w:tr>
    </w:tbl>
    <w:p w:rsidR="00000000" w:rsidRPr="00B01B43" w:rsidP="00B01B43">
      <w:pPr>
        <w:pStyle w:val="BodyText"/>
      </w:pPr>
    </w:p>
    <w:p w:rsidR="00000000" w:rsidRPr="00B01B43" w:rsidP="00B01B43">
      <w:pPr>
        <w:pStyle w:val="AllowPageBreak"/>
      </w:pPr>
    </w:p>
    <w:p w:rsidR="00000000" w:rsidRPr="00B01B43" w:rsidP="00B01B43">
      <w:pPr>
        <w:pStyle w:val="Heading1"/>
      </w:pPr>
      <w:bookmarkStart w:id="6" w:name="O_857068"/>
      <w:bookmarkEnd w:id="6"/>
      <w:r w:rsidRPr="00B01B43">
        <w:t>Foundation Skills</w:t>
      </w:r>
    </w:p>
    <w:tbl>
      <w:tblPr>
        <w:tblW w:w="0" w:type="auto"/>
        <w:tblLayout w:type="fixed"/>
        <w:tblCellMar>
          <w:left w:w="62" w:type="dxa"/>
          <w:right w:w="62" w:type="dxa"/>
        </w:tblCellMar>
        <w:tblLook w:val="0000"/>
      </w:tblPr>
      <w:tblGrid>
        <w:gridCol w:w="2195"/>
        <w:gridCol w:w="6877"/>
      </w:tblGrid>
      <w:tr w:rsidTr="00B01B4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This section describes the language, literacy, numeracy and employment skills essential to performance in this unit but not explicit in the</w:t>
            </w:r>
            <w:r w:rsidRPr="00B01B43">
              <w:t xml:space="preserve"> performance criteria.</w:t>
            </w:r>
          </w:p>
        </w:tc>
      </w:tr>
      <w:tr w:rsidTr="00B01B4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B01B43" w:rsidP="00B01B43">
            <w:pPr>
              <w:pStyle w:val="BodyText"/>
            </w:pPr>
          </w:p>
          <w:p w:rsidR="00000000" w:rsidRPr="00B01B43" w:rsidP="00B01B43">
            <w:pPr>
              <w:pStyle w:val="BodyText"/>
            </w:pPr>
            <w:r w:rsidRPr="00B01B43">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rPr>
                <w:rStyle w:val="SpecialBold"/>
              </w:rPr>
              <w:t>Performance feature</w:t>
            </w:r>
          </w:p>
        </w:tc>
      </w:tr>
      <w:tr w:rsidTr="00B01B4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Learning skills to:</w:t>
            </w:r>
          </w:p>
        </w:tc>
        <w:tc>
          <w:tcPr>
            <w:tcW w:w="6877" w:type="dxa"/>
            <w:tcBorders>
              <w:top w:val="nil"/>
              <w:left w:val="nil"/>
              <w:bottom w:val="nil"/>
              <w:right w:val="nil"/>
            </w:tcBorders>
            <w:tcMar>
              <w:top w:w="0" w:type="dxa"/>
              <w:left w:w="62" w:type="dxa"/>
              <w:bottom w:w="0" w:type="dxa"/>
              <w:right w:w="62" w:type="dxa"/>
            </w:tcMar>
          </w:tcPr>
          <w:p w:rsidR="00000000" w:rsidRPr="00B01B43" w:rsidP="00B01B43">
            <w:pPr>
              <w:pStyle w:val="ListBullet"/>
            </w:pPr>
            <w:r w:rsidRPr="00B01B43">
              <w:t>identify and use reliable sources of information on requirements of environmental and sustainability legislation, standards and codes of practice</w:t>
            </w:r>
          </w:p>
          <w:p w:rsidR="00000000" w:rsidP="00B01B43">
            <w:pPr>
              <w:pStyle w:val="ListBullet"/>
              <w:rPr>
                <w:lang w:val="en-NZ"/>
              </w:rPr>
            </w:pPr>
            <w:r w:rsidRPr="00B01B43">
              <w:t>apply previous knowledge of strategies to new work situations to increase sustainability.</w:t>
            </w:r>
          </w:p>
        </w:tc>
      </w:tr>
      <w:tr w:rsidTr="00B01B4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Numeracy skills to:</w:t>
            </w:r>
          </w:p>
        </w:tc>
        <w:tc>
          <w:tcPr>
            <w:tcW w:w="6877" w:type="dxa"/>
            <w:tcBorders>
              <w:top w:val="nil"/>
              <w:left w:val="nil"/>
              <w:bottom w:val="nil"/>
              <w:right w:val="nil"/>
            </w:tcBorders>
            <w:tcMar>
              <w:top w:w="0" w:type="dxa"/>
              <w:left w:w="62" w:type="dxa"/>
              <w:bottom w:w="0" w:type="dxa"/>
              <w:right w:w="62" w:type="dxa"/>
            </w:tcMar>
          </w:tcPr>
          <w:p w:rsidR="00000000" w:rsidP="00B01B43">
            <w:pPr>
              <w:pStyle w:val="ListBullet"/>
              <w:rPr>
                <w:lang w:val="en-NZ"/>
              </w:rPr>
            </w:pPr>
            <w:r w:rsidRPr="00B01B43">
              <w:t>estimate and calculate numerical values, including costs and volumes associated with assessing strategies for reducing use of materials.</w:t>
            </w:r>
          </w:p>
        </w:tc>
      </w:tr>
      <w:tr w:rsidTr="00B01B4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B01B43" w:rsidP="00B01B43">
            <w:pPr>
              <w:pStyle w:val="ListBullet"/>
            </w:pPr>
            <w:r w:rsidRPr="00B01B43">
              <w:t>engage, inform and gain information from stakeholders as part of consultation process</w:t>
            </w:r>
          </w:p>
          <w:p w:rsidR="00000000" w:rsidP="00B01B43">
            <w:pPr>
              <w:pStyle w:val="ListBullet"/>
              <w:rPr>
                <w:lang w:val="en-NZ"/>
              </w:rPr>
            </w:pPr>
            <w:r w:rsidRPr="00B01B43">
              <w:t>communicate policy implementation strategies to stakeholders.</w:t>
            </w:r>
          </w:p>
        </w:tc>
      </w:tr>
      <w:tr w:rsidTr="00B01B4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Reading skills to:</w:t>
            </w:r>
          </w:p>
        </w:tc>
        <w:tc>
          <w:tcPr>
            <w:tcW w:w="6877" w:type="dxa"/>
            <w:tcBorders>
              <w:top w:val="nil"/>
              <w:left w:val="nil"/>
              <w:bottom w:val="nil"/>
              <w:right w:val="nil"/>
            </w:tcBorders>
            <w:tcMar>
              <w:top w:w="0" w:type="dxa"/>
              <w:left w:w="62" w:type="dxa"/>
              <w:bottom w:w="0" w:type="dxa"/>
              <w:right w:w="62" w:type="dxa"/>
            </w:tcMar>
          </w:tcPr>
          <w:p w:rsidR="00000000" w:rsidP="00B01B43">
            <w:pPr>
              <w:pStyle w:val="ListBullet"/>
              <w:rPr>
                <w:lang w:val="en-NZ"/>
              </w:rPr>
            </w:pPr>
            <w:r w:rsidRPr="00B01B43">
              <w:t>interpret information on requirements of environmental a</w:t>
            </w:r>
            <w:r w:rsidRPr="00B01B43">
              <w:t>nd sustainability legislation, standards and codes of practice.</w:t>
            </w:r>
          </w:p>
        </w:tc>
      </w:tr>
      <w:tr w:rsidTr="00B01B43">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t>Writing skills to:</w:t>
            </w:r>
          </w:p>
        </w:tc>
        <w:tc>
          <w:tcPr>
            <w:tcW w:w="6877" w:type="dxa"/>
            <w:tcBorders>
              <w:top w:val="nil"/>
              <w:left w:val="nil"/>
              <w:bottom w:val="nil"/>
              <w:right w:val="nil"/>
            </w:tcBorders>
            <w:tcMar>
              <w:top w:w="0" w:type="dxa"/>
              <w:left w:w="62" w:type="dxa"/>
              <w:bottom w:w="0" w:type="dxa"/>
              <w:right w:w="62" w:type="dxa"/>
            </w:tcMar>
          </w:tcPr>
          <w:p w:rsidR="00000000" w:rsidRPr="00B01B43" w:rsidP="00B01B43">
            <w:pPr>
              <w:pStyle w:val="ListBullet"/>
            </w:pPr>
            <w:r w:rsidRPr="00B01B43">
              <w:t xml:space="preserve">prepare clear procedures to inform stakeholders of implementation strategies for sustainability policy. </w:t>
            </w:r>
          </w:p>
        </w:tc>
      </w:tr>
    </w:tbl>
    <w:p w:rsidR="00000000" w:rsidRPr="00B01B43" w:rsidP="00B01B43">
      <w:pPr>
        <w:pStyle w:val="BodyText"/>
      </w:pPr>
    </w:p>
    <w:p w:rsidR="00000000" w:rsidRPr="00B01B43" w:rsidP="00B01B43">
      <w:pPr>
        <w:pStyle w:val="AllowPageBreak"/>
      </w:pPr>
    </w:p>
    <w:p w:rsidR="00000000" w:rsidRPr="00B01B43" w:rsidP="00B01B43">
      <w:pPr>
        <w:pStyle w:val="Heading1"/>
      </w:pPr>
      <w:bookmarkStart w:id="7" w:name="O_857067"/>
      <w:bookmarkEnd w:id="7"/>
      <w:r w:rsidRPr="00B01B43">
        <w:t>Range of Conditions</w:t>
      </w:r>
    </w:p>
    <w:tbl>
      <w:tblPr>
        <w:tblW w:w="0" w:type="auto"/>
        <w:tblLayout w:type="fixed"/>
        <w:tblCellMar>
          <w:left w:w="62" w:type="dxa"/>
          <w:right w:w="62" w:type="dxa"/>
        </w:tblCellMar>
        <w:tblLook w:val="0000"/>
      </w:tblPr>
      <w:tblGrid>
        <w:gridCol w:w="2410"/>
        <w:gridCol w:w="6662"/>
      </w:tblGrid>
      <w:tr w:rsidTr="00B01B4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B01B43" w:rsidP="00B01B43">
            <w:pPr>
              <w:pStyle w:val="BodyText"/>
            </w:pPr>
            <w:r w:rsidRPr="00B01B43">
              <w:t>This section specifies work environments and conditions that may affect performance. Essential operating conditions that may be present (depending on the work situation, needs of the candidate, accessibility of the item, and local industry and regional con</w:t>
            </w:r>
            <w:r w:rsidRPr="00B01B43">
              <w:t>texts) are included. Bold italicised wording, if used in the performance criteria, is detailed below.</w:t>
            </w:r>
          </w:p>
          <w:p w:rsidR="00000000">
            <w:pPr>
              <w:pStyle w:val="BodyText"/>
              <w:keepLines w:val="0"/>
              <w:rPr>
                <w:rFonts w:ascii="Tahoma" w:hAnsi="Tahoma"/>
                <w:color w:val="000000"/>
                <w:sz w:val="20"/>
                <w:lang w:val="en-NZ"/>
              </w:rPr>
            </w:pPr>
          </w:p>
        </w:tc>
      </w:tr>
      <w:tr w:rsidTr="00B01B43">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rPr>
                <w:rStyle w:val="BoldandItalics"/>
              </w:rPr>
              <w:t xml:space="preserve">Existing internal policies and procedures </w:t>
            </w:r>
            <w:r w:rsidRPr="00B01B43">
              <w:t>must include review of at least two of the following policies:</w:t>
            </w:r>
          </w:p>
        </w:tc>
        <w:tc>
          <w:tcPr>
            <w:tcW w:w="6662" w:type="dxa"/>
            <w:tcBorders>
              <w:top w:val="nil"/>
              <w:left w:val="nil"/>
              <w:bottom w:val="nil"/>
              <w:right w:val="nil"/>
            </w:tcBorders>
            <w:tcMar>
              <w:top w:w="0" w:type="dxa"/>
              <w:left w:w="62" w:type="dxa"/>
              <w:bottom w:w="0" w:type="dxa"/>
              <w:right w:w="62" w:type="dxa"/>
            </w:tcMar>
          </w:tcPr>
          <w:p w:rsidR="00000000" w:rsidRPr="00B01B43" w:rsidP="00B01B43">
            <w:pPr>
              <w:pStyle w:val="ListBullet"/>
            </w:pPr>
            <w:r w:rsidRPr="00B01B43">
              <w:t>environmental</w:t>
            </w:r>
          </w:p>
          <w:p w:rsidR="00000000" w:rsidRPr="00B01B43" w:rsidP="00B01B43">
            <w:pPr>
              <w:pStyle w:val="ListBullet"/>
            </w:pPr>
            <w:r w:rsidRPr="00B01B43">
              <w:t>health and safety</w:t>
            </w:r>
          </w:p>
          <w:p w:rsidR="00000000" w:rsidRPr="00B01B43" w:rsidP="00B01B43">
            <w:pPr>
              <w:pStyle w:val="ListBullet"/>
            </w:pPr>
            <w:r w:rsidRPr="00B01B43">
              <w:t>procurement</w:t>
            </w:r>
          </w:p>
          <w:p w:rsidR="00000000" w:rsidRPr="00B01B43" w:rsidP="00B01B43">
            <w:pPr>
              <w:pStyle w:val="ListBullet"/>
            </w:pPr>
            <w:r w:rsidRPr="00B01B43">
              <w:t>quality management</w:t>
            </w:r>
          </w:p>
          <w:p w:rsidR="00000000" w:rsidP="00B01B43">
            <w:pPr>
              <w:pStyle w:val="ListBullet"/>
              <w:rPr>
                <w:lang w:val="en-NZ"/>
              </w:rPr>
            </w:pPr>
            <w:r w:rsidRPr="00B01B43">
              <w:t>waste management.</w:t>
            </w:r>
          </w:p>
        </w:tc>
      </w:tr>
      <w:tr w:rsidTr="00B01B43">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rPr>
                <w:rStyle w:val="BoldandItalics"/>
              </w:rPr>
              <w:t>Environmental and sustainability legislation</w:t>
            </w:r>
            <w:r w:rsidRPr="00B01B43">
              <w:t xml:space="preserve">, </w:t>
            </w:r>
            <w:r w:rsidRPr="00B01B43">
              <w:rPr>
                <w:rStyle w:val="BoldandItalics"/>
              </w:rPr>
              <w:t>standards and codes of practice</w:t>
            </w:r>
            <w:r w:rsidRPr="00B01B43">
              <w:t xml:space="preserve"> must include at least two of the following:</w:t>
            </w:r>
          </w:p>
        </w:tc>
        <w:tc>
          <w:tcPr>
            <w:tcW w:w="6662" w:type="dxa"/>
            <w:tcBorders>
              <w:top w:val="nil"/>
              <w:left w:val="nil"/>
              <w:bottom w:val="nil"/>
              <w:right w:val="nil"/>
            </w:tcBorders>
            <w:tcMar>
              <w:top w:w="0" w:type="dxa"/>
              <w:left w:w="62" w:type="dxa"/>
              <w:bottom w:w="0" w:type="dxa"/>
              <w:right w:w="62" w:type="dxa"/>
            </w:tcMar>
          </w:tcPr>
          <w:p w:rsidR="00000000" w:rsidRPr="00B01B43" w:rsidP="00B01B43">
            <w:pPr>
              <w:pStyle w:val="ListBullet"/>
            </w:pPr>
            <w:r w:rsidRPr="00B01B43">
              <w:t>energy rating standards</w:t>
            </w:r>
          </w:p>
          <w:p w:rsidR="00000000" w:rsidRPr="00B01B43" w:rsidP="00B01B43">
            <w:pPr>
              <w:pStyle w:val="ListBullet"/>
            </w:pPr>
            <w:r w:rsidRPr="00B01B43">
              <w:t>environmental protection legislation</w:t>
            </w:r>
          </w:p>
          <w:p w:rsidR="00000000" w:rsidRPr="00B01B43" w:rsidP="00B01B43">
            <w:pPr>
              <w:pStyle w:val="ListBullet"/>
            </w:pPr>
            <w:r w:rsidRPr="00B01B43">
              <w:t>ISO 14001 Environment Management S</w:t>
            </w:r>
            <w:r w:rsidRPr="00B01B43">
              <w:t>ystems</w:t>
            </w:r>
          </w:p>
          <w:p w:rsidR="00000000" w:rsidP="00B01B43">
            <w:pPr>
              <w:pStyle w:val="ListBullet"/>
              <w:rPr>
                <w:lang w:val="en-NZ"/>
              </w:rPr>
            </w:pPr>
            <w:r w:rsidRPr="00B01B43">
              <w:t>waste management legislation.</w:t>
            </w:r>
          </w:p>
        </w:tc>
      </w:tr>
      <w:tr w:rsidTr="00B01B43">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B01B43">
            <w:pPr>
              <w:pStyle w:val="BodyText"/>
              <w:rPr>
                <w:lang w:val="en-NZ"/>
              </w:rPr>
            </w:pPr>
            <w:r w:rsidRPr="00B01B43">
              <w:rPr>
                <w:rStyle w:val="BoldandItalics"/>
              </w:rPr>
              <w:t xml:space="preserve">Stakeholders </w:t>
            </w:r>
            <w:r w:rsidRPr="00B01B43">
              <w:t>must include at least two of the following:</w:t>
            </w:r>
          </w:p>
        </w:tc>
        <w:tc>
          <w:tcPr>
            <w:tcW w:w="6662" w:type="dxa"/>
            <w:tcBorders>
              <w:top w:val="nil"/>
              <w:left w:val="nil"/>
              <w:bottom w:val="nil"/>
              <w:right w:val="nil"/>
            </w:tcBorders>
            <w:tcMar>
              <w:top w:w="0" w:type="dxa"/>
              <w:left w:w="62" w:type="dxa"/>
              <w:bottom w:w="0" w:type="dxa"/>
              <w:right w:w="62" w:type="dxa"/>
            </w:tcMar>
          </w:tcPr>
          <w:p w:rsidR="00000000" w:rsidRPr="00B01B43" w:rsidP="00B01B43">
            <w:pPr>
              <w:pStyle w:val="ListBullet"/>
            </w:pPr>
            <w:r w:rsidRPr="00B01B43">
              <w:t>clients</w:t>
            </w:r>
          </w:p>
          <w:p w:rsidR="00000000" w:rsidRPr="00B01B43" w:rsidP="00B01B43">
            <w:pPr>
              <w:pStyle w:val="ListBullet"/>
            </w:pPr>
            <w:r w:rsidRPr="00B01B43">
              <w:t>co-workers</w:t>
            </w:r>
          </w:p>
          <w:p w:rsidR="00000000" w:rsidRPr="00B01B43" w:rsidP="00B01B43">
            <w:pPr>
              <w:pStyle w:val="ListBullet"/>
            </w:pPr>
            <w:r w:rsidRPr="00B01B43">
              <w:t>senior management</w:t>
            </w:r>
          </w:p>
          <w:p w:rsidR="00000000" w:rsidRPr="00B01B43" w:rsidP="00B01B43">
            <w:pPr>
              <w:pStyle w:val="ListBullet"/>
            </w:pPr>
            <w:r w:rsidRPr="00B01B43">
              <w:t>suppliers.</w:t>
            </w:r>
          </w:p>
        </w:tc>
      </w:tr>
    </w:tbl>
    <w:p w:rsidR="00000000" w:rsidRPr="00B01B43" w:rsidP="00B01B43">
      <w:pPr>
        <w:pStyle w:val="BodyText"/>
      </w:pPr>
    </w:p>
    <w:p w:rsidR="00000000" w:rsidRPr="00B01B43" w:rsidP="00B01B43">
      <w:pPr>
        <w:pStyle w:val="AllowPageBreak"/>
      </w:pPr>
    </w:p>
    <w:p w:rsidR="00000000" w:rsidRPr="00B01B43" w:rsidP="00B01B43">
      <w:pPr>
        <w:pStyle w:val="Heading1"/>
      </w:pPr>
      <w:bookmarkStart w:id="8" w:name="O_857066"/>
      <w:bookmarkEnd w:id="8"/>
      <w:r w:rsidRPr="00B01B43">
        <w:t>Unit Mapping Information</w:t>
      </w:r>
    </w:p>
    <w:p w:rsidR="00000000" w:rsidRPr="00B01B43" w:rsidP="003E7905">
      <w:pPr>
        <w:pStyle w:val="BodyText"/>
      </w:pPr>
      <w:r w:rsidRPr="00B01B43">
        <w:t>CPPCMN4001B Develop workpla</w:t>
      </w:r>
      <w:r w:rsidRPr="00B01B43">
        <w:t>ce policies and procedures for sustainability</w:t>
      </w:r>
    </w:p>
    <w:p w:rsidR="00000000" w:rsidRPr="00B01B43" w:rsidP="00B01B43">
      <w:pPr>
        <w:pStyle w:val="Heading1"/>
      </w:pPr>
      <w:bookmarkStart w:id="9" w:name="O_857059"/>
      <w:bookmarkEnd w:id="9"/>
      <w:r w:rsidRPr="00B01B43">
        <w:t>Links</w:t>
      </w:r>
    </w:p>
    <w:p w:rsidR="00000000" w:rsidRPr="00B01B43" w:rsidP="003E7905">
      <w:pPr>
        <w:pStyle w:val="BodyText"/>
      </w:pPr>
      <w:r w:rsidRPr="00B01B43">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7B5B48">
        <w:rPr>
          <w:rStyle w:val="Hyperlink"/>
        </w:rPr>
        <w:t>https://vetnet.gov.au/Pages/TrainingDocs.aspx?q=6f3f9672-30e8-4835-b348-205dfcf13d9b</w:t>
      </w:r>
      <w:r>
        <w:fldChar w:fldCharType="end"/>
      </w:r>
    </w:p>
    <w:p w:rsidR="00000000" w:rsidRPr="00B01B43" w:rsidP="00B01B43"/>
    <w:sectPr w:rsidSect="00B01B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B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B43" w:rsidRPr="003E7905" w:rsidP="003E79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B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905" w:rsidP="00B01B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7905" w:rsidP="00B01B4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3E7905" w:rsidP="00B01B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B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9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1B43" w:rsidRPr="003E7905" w:rsidP="003E79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B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905" w:rsidRPr="002D2AF8" w:rsidP="00B01B43">
    <w:pPr>
      <w:pStyle w:val="Header"/>
      <w:framePr w:wrap="around"/>
    </w:pPr>
    <w:r>
      <w:fldChar w:fldCharType="begin"/>
    </w:r>
    <w:r>
      <w:instrText xml:space="preserve"> TITLE   \* MERGEFORMAT </w:instrText>
    </w:r>
    <w:r>
      <w:fldChar w:fldCharType="separate"/>
    </w:r>
    <w:r>
      <w:t>CPPCMN4001 Develop workplace policies and procedures for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3E7905" w:rsidP="00B01B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D442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247B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B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1B43"/>
    <w:pPr>
      <w:spacing w:before="360" w:after="60"/>
      <w:outlineLvl w:val="0"/>
    </w:pPr>
    <w:rPr>
      <w:sz w:val="32"/>
    </w:rPr>
  </w:style>
  <w:style w:type="paragraph" w:styleId="Heading2">
    <w:name w:val="heading 2"/>
    <w:basedOn w:val="HeadingBase"/>
    <w:next w:val="BodyText"/>
    <w:link w:val="Heading2Char"/>
    <w:qFormat/>
    <w:rsid w:val="00B01B43"/>
    <w:pPr>
      <w:keepLines/>
      <w:spacing w:before="240" w:after="120"/>
      <w:outlineLvl w:val="1"/>
    </w:pPr>
    <w:rPr>
      <w:sz w:val="28"/>
      <w:szCs w:val="40"/>
    </w:rPr>
  </w:style>
  <w:style w:type="paragraph" w:styleId="Heading3">
    <w:name w:val="heading 3"/>
    <w:basedOn w:val="HeadingBase"/>
    <w:next w:val="BodyText"/>
    <w:link w:val="Heading3Char"/>
    <w:qFormat/>
    <w:rsid w:val="00B01B43"/>
    <w:pPr>
      <w:spacing w:before="180" w:after="120"/>
      <w:outlineLvl w:val="2"/>
    </w:pPr>
    <w:rPr>
      <w:spacing w:val="-10"/>
      <w:kern w:val="32"/>
    </w:rPr>
  </w:style>
  <w:style w:type="paragraph" w:styleId="Heading4">
    <w:name w:val="heading 4"/>
    <w:basedOn w:val="HeadingBase"/>
    <w:next w:val="BodyText"/>
    <w:link w:val="Heading4Char"/>
    <w:qFormat/>
    <w:rsid w:val="00B01B43"/>
    <w:pPr>
      <w:spacing w:before="160" w:after="120"/>
      <w:outlineLvl w:val="3"/>
    </w:pPr>
    <w:rPr>
      <w:sz w:val="22"/>
    </w:rPr>
  </w:style>
  <w:style w:type="paragraph" w:styleId="Heading5">
    <w:name w:val="heading 5"/>
    <w:basedOn w:val="HeadingBase"/>
    <w:next w:val="Normal"/>
    <w:link w:val="Heading5Char"/>
    <w:qFormat/>
    <w:rsid w:val="00B01B43"/>
    <w:pPr>
      <w:spacing w:before="80"/>
      <w:outlineLvl w:val="4"/>
    </w:pPr>
    <w:rPr>
      <w:color w:val="918585"/>
      <w:sz w:val="20"/>
    </w:rPr>
  </w:style>
  <w:style w:type="paragraph" w:styleId="Heading6">
    <w:name w:val="heading 6"/>
    <w:basedOn w:val="HeadingBase"/>
    <w:next w:val="Normal"/>
    <w:link w:val="Heading6Char"/>
    <w:qFormat/>
    <w:rsid w:val="00B01B43"/>
    <w:pPr>
      <w:spacing w:before="60"/>
      <w:outlineLvl w:val="5"/>
    </w:pPr>
    <w:rPr>
      <w:color w:val="918585"/>
      <w:sz w:val="20"/>
    </w:rPr>
  </w:style>
  <w:style w:type="paragraph" w:styleId="Heading7">
    <w:name w:val="heading 7"/>
    <w:basedOn w:val="Normal"/>
    <w:next w:val="Normal"/>
    <w:link w:val="Heading7Char"/>
    <w:qFormat/>
    <w:rsid w:val="00B01B43"/>
    <w:pPr>
      <w:ind w:left="720"/>
      <w:outlineLvl w:val="6"/>
    </w:pPr>
    <w:rPr>
      <w:i/>
    </w:rPr>
  </w:style>
  <w:style w:type="paragraph" w:styleId="Heading8">
    <w:name w:val="heading 8"/>
    <w:basedOn w:val="Normal"/>
    <w:next w:val="Normal"/>
    <w:link w:val="Heading8Char"/>
    <w:qFormat/>
    <w:rsid w:val="00B01B43"/>
    <w:pPr>
      <w:ind w:left="720"/>
      <w:outlineLvl w:val="7"/>
    </w:pPr>
    <w:rPr>
      <w:i/>
    </w:rPr>
  </w:style>
  <w:style w:type="paragraph" w:styleId="Heading9">
    <w:name w:val="heading 9"/>
    <w:basedOn w:val="Normal"/>
    <w:next w:val="Normal"/>
    <w:link w:val="Heading9Char"/>
    <w:qFormat/>
    <w:rsid w:val="00B01B43"/>
    <w:pPr>
      <w:ind w:left="720"/>
      <w:outlineLvl w:val="8"/>
    </w:pPr>
    <w:rPr>
      <w:i/>
    </w:rPr>
  </w:style>
  <w:style w:type="character" w:default="1" w:styleId="DefaultParagraphFont">
    <w:name w:val="Default Paragraph Font"/>
    <w:uiPriority w:val="1"/>
    <w:unhideWhenUsed/>
    <w:rsid w:val="00B01B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1B43"/>
  </w:style>
  <w:style w:type="character" w:customStyle="1" w:styleId="Heading1Char">
    <w:name w:val="Heading 1 Char"/>
    <w:basedOn w:val="DefaultParagraphFont"/>
    <w:link w:val="Heading1"/>
    <w:rsid w:val="00B01B43"/>
    <w:rPr>
      <w:rFonts w:ascii="Times New Roman" w:eastAsia="Times New Roman" w:hAnsi="Times New Roman" w:cs="Times New Roman"/>
      <w:b/>
      <w:sz w:val="32"/>
      <w:szCs w:val="20"/>
      <w:lang w:eastAsia="en-US"/>
    </w:rPr>
  </w:style>
  <w:style w:type="paragraph" w:styleId="BodyText">
    <w:name w:val="Body Text"/>
    <w:basedOn w:val="Normal"/>
    <w:link w:val="BodyTextChar"/>
    <w:rsid w:val="00B01B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1B43"/>
    <w:rPr>
      <w:rFonts w:ascii="Times New Roman" w:eastAsia="Times New Roman" w:hAnsi="Times New Roman" w:cs="Times New Roman"/>
      <w:sz w:val="24"/>
      <w:lang w:eastAsia="en-US"/>
    </w:rPr>
  </w:style>
  <w:style w:type="paragraph" w:styleId="ListBullet">
    <w:name w:val="List Bullet"/>
    <w:basedOn w:val="List"/>
    <w:rsid w:val="00B01B43"/>
    <w:pPr>
      <w:numPr>
        <w:numId w:val="11"/>
      </w:numPr>
      <w:tabs>
        <w:tab w:val="clear" w:pos="340"/>
      </w:tabs>
      <w:spacing w:before="40" w:after="40"/>
    </w:pPr>
  </w:style>
  <w:style w:type="character" w:customStyle="1" w:styleId="SpecialBold">
    <w:name w:val="Special Bold"/>
    <w:basedOn w:val="DefaultParagraphFont"/>
    <w:rsid w:val="00B01B43"/>
    <w:rPr>
      <w:b/>
      <w:spacing w:val="0"/>
    </w:rPr>
  </w:style>
  <w:style w:type="paragraph" w:customStyle="1" w:styleId="SuperHeading">
    <w:name w:val="SuperHeading"/>
    <w:basedOn w:val="Normal"/>
    <w:rsid w:val="00B01B43"/>
    <w:pPr>
      <w:spacing w:before="240" w:after="120"/>
      <w:outlineLvl w:val="0"/>
    </w:pPr>
    <w:rPr>
      <w:rFonts w:ascii="Times New Roman" w:hAnsi="Times New Roman"/>
      <w:b/>
      <w:sz w:val="32"/>
    </w:rPr>
  </w:style>
  <w:style w:type="paragraph" w:customStyle="1" w:styleId="AllowPageBreak">
    <w:name w:val="AllowPageBreak"/>
    <w:rsid w:val="00B01B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01B43"/>
    <w:rPr>
      <w:b/>
      <w:i/>
      <w:u w:val="none"/>
    </w:rPr>
  </w:style>
  <w:style w:type="character" w:customStyle="1" w:styleId="Heading2Char">
    <w:name w:val="Heading 2 Char"/>
    <w:basedOn w:val="DefaultParagraphFont"/>
    <w:link w:val="Heading2"/>
    <w:rsid w:val="00B01B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1B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1B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1B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1B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1B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1B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1B43"/>
    <w:rPr>
      <w:rFonts w:ascii="Courier New" w:eastAsia="Times New Roman" w:hAnsi="Courier New" w:cs="Times New Roman"/>
      <w:i/>
      <w:szCs w:val="20"/>
      <w:lang w:eastAsia="en-US"/>
    </w:rPr>
  </w:style>
  <w:style w:type="paragraph" w:customStyle="1" w:styleId="HeadingBase">
    <w:name w:val="Heading Base"/>
    <w:rsid w:val="00B01B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1B43"/>
    <w:pPr>
      <w:tabs>
        <w:tab w:val="right" w:leader="dot" w:pos="9072"/>
      </w:tabs>
      <w:ind w:left="567"/>
    </w:pPr>
    <w:rPr>
      <w:szCs w:val="22"/>
    </w:rPr>
  </w:style>
  <w:style w:type="paragraph" w:customStyle="1" w:styleId="TOCBase">
    <w:name w:val="TOC Base"/>
    <w:rsid w:val="00B01B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1B43"/>
    <w:pPr>
      <w:tabs>
        <w:tab w:val="right" w:leader="dot" w:pos="9072"/>
      </w:tabs>
      <w:spacing w:before="40" w:after="40"/>
      <w:ind w:left="284"/>
    </w:pPr>
    <w:rPr>
      <w:rFonts w:ascii="Times New Roman" w:hAnsi="Times New Roman"/>
    </w:rPr>
  </w:style>
  <w:style w:type="paragraph" w:styleId="TOC1">
    <w:name w:val="toc 1"/>
    <w:basedOn w:val="TOCBase"/>
    <w:next w:val="Normal"/>
    <w:rsid w:val="00B01B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1B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1B43"/>
    <w:rPr>
      <w:rFonts w:ascii="Times New Roman" w:eastAsia="Times New Roman" w:hAnsi="Times New Roman" w:cs="Times New Roman"/>
      <w:sz w:val="16"/>
      <w:lang w:eastAsia="en-US"/>
    </w:rPr>
  </w:style>
  <w:style w:type="paragraph" w:styleId="Title">
    <w:name w:val="Title"/>
    <w:basedOn w:val="HeadingBase"/>
    <w:link w:val="TitleChar"/>
    <w:qFormat/>
    <w:rsid w:val="00B01B43"/>
    <w:pPr>
      <w:spacing w:before="5040"/>
      <w:jc w:val="center"/>
    </w:pPr>
    <w:rPr>
      <w:sz w:val="48"/>
      <w:szCs w:val="72"/>
      <w:lang w:val="en-US"/>
    </w:rPr>
  </w:style>
  <w:style w:type="character" w:customStyle="1" w:styleId="TitleChar">
    <w:name w:val="Title Char"/>
    <w:basedOn w:val="DefaultParagraphFont"/>
    <w:link w:val="Title"/>
    <w:rsid w:val="00B01B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1B43"/>
    <w:pPr>
      <w:tabs>
        <w:tab w:val="left" w:pos="3600"/>
        <w:tab w:val="left" w:pos="3958"/>
      </w:tabs>
    </w:pPr>
  </w:style>
  <w:style w:type="paragraph" w:styleId="List">
    <w:name w:val="List"/>
    <w:basedOn w:val="BodyText"/>
    <w:next w:val="BodyText"/>
    <w:rsid w:val="00B01B43"/>
    <w:pPr>
      <w:tabs>
        <w:tab w:val="left" w:pos="340"/>
      </w:tabs>
      <w:spacing w:before="60" w:after="60"/>
      <w:ind w:left="340" w:hanging="340"/>
    </w:pPr>
  </w:style>
  <w:style w:type="paragraph" w:customStyle="1" w:styleId="Note">
    <w:name w:val="Note"/>
    <w:basedOn w:val="BodyText"/>
    <w:rsid w:val="00B01B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1B43"/>
    <w:pPr>
      <w:framePr w:wrap="auto" w:hAnchor="text" w:y="6049"/>
    </w:pPr>
    <w:rPr>
      <w:color w:val="000000"/>
      <w:sz w:val="40"/>
    </w:rPr>
  </w:style>
  <w:style w:type="paragraph" w:customStyle="1" w:styleId="TOCTitle">
    <w:name w:val="TOCTitle"/>
    <w:basedOn w:val="Heading1"/>
    <w:rsid w:val="00B01B43"/>
    <w:pPr>
      <w:spacing w:after="240"/>
      <w:jc w:val="center"/>
      <w:outlineLvl w:val="9"/>
    </w:pPr>
    <w:rPr>
      <w:caps/>
    </w:rPr>
  </w:style>
  <w:style w:type="paragraph" w:customStyle="1" w:styleId="Version">
    <w:name w:val="Version"/>
    <w:rsid w:val="00B01B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1B43"/>
    <w:pPr>
      <w:numPr>
        <w:numId w:val="12"/>
      </w:numPr>
      <w:tabs>
        <w:tab w:val="clear" w:pos="680"/>
      </w:tabs>
    </w:pPr>
  </w:style>
  <w:style w:type="paragraph" w:styleId="Index1">
    <w:name w:val="index 1"/>
    <w:basedOn w:val="Normal"/>
    <w:next w:val="Normal"/>
    <w:semiHidden/>
    <w:rsid w:val="00B01B43"/>
    <w:pPr>
      <w:keepNext w:val="0"/>
      <w:tabs>
        <w:tab w:val="right" w:pos="4176"/>
      </w:tabs>
      <w:ind w:left="198" w:hanging="198"/>
    </w:pPr>
    <w:rPr>
      <w:rFonts w:ascii="Garamond" w:hAnsi="Garamond"/>
    </w:rPr>
  </w:style>
  <w:style w:type="paragraph" w:styleId="IndexHeading">
    <w:name w:val="index heading"/>
    <w:basedOn w:val="Normal"/>
    <w:next w:val="Index1"/>
    <w:semiHidden/>
    <w:rsid w:val="00B01B43"/>
    <w:pPr>
      <w:spacing w:before="120" w:after="120"/>
    </w:pPr>
    <w:rPr>
      <w:rFonts w:ascii="Arial" w:hAnsi="Arial"/>
      <w:b/>
      <w:color w:val="918585"/>
      <w:sz w:val="24"/>
    </w:rPr>
  </w:style>
  <w:style w:type="paragraph" w:styleId="Header">
    <w:name w:val="header"/>
    <w:basedOn w:val="Normal"/>
    <w:link w:val="HeaderChar"/>
    <w:rsid w:val="00B01B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1B43"/>
    <w:rPr>
      <w:rFonts w:ascii="Times New Roman" w:eastAsia="Times New Roman" w:hAnsi="Times New Roman" w:cs="Times New Roman"/>
      <w:sz w:val="16"/>
      <w:szCs w:val="20"/>
      <w:lang w:val="en-GB" w:eastAsia="en-US"/>
    </w:rPr>
  </w:style>
  <w:style w:type="paragraph" w:customStyle="1" w:styleId="Chapter">
    <w:name w:val="Chapter"/>
    <w:basedOn w:val="Normal"/>
    <w:rsid w:val="00B01B43"/>
    <w:pPr>
      <w:spacing w:before="240"/>
    </w:pPr>
    <w:rPr>
      <w:rFonts w:ascii="Times New Roman" w:hAnsi="Times New Roman"/>
      <w:smallCaps/>
      <w:spacing w:val="80"/>
      <w:sz w:val="28"/>
    </w:rPr>
  </w:style>
  <w:style w:type="paragraph" w:customStyle="1" w:styleId="InChapter">
    <w:name w:val="InChapter"/>
    <w:basedOn w:val="Heading3"/>
    <w:rsid w:val="00B01B43"/>
    <w:pPr>
      <w:spacing w:after="240"/>
      <w:outlineLvl w:val="9"/>
    </w:pPr>
    <w:rPr>
      <w:noProof/>
    </w:rPr>
  </w:style>
  <w:style w:type="paragraph" w:styleId="Index2">
    <w:name w:val="index 2"/>
    <w:basedOn w:val="Normal"/>
    <w:next w:val="Normal"/>
    <w:semiHidden/>
    <w:rsid w:val="00B01B43"/>
    <w:pPr>
      <w:tabs>
        <w:tab w:val="right" w:pos="4176"/>
      </w:tabs>
      <w:ind w:left="568" w:hanging="284"/>
    </w:pPr>
    <w:rPr>
      <w:rFonts w:ascii="Garamond" w:hAnsi="Garamond"/>
    </w:rPr>
  </w:style>
  <w:style w:type="paragraph" w:customStyle="1" w:styleId="Byline">
    <w:name w:val="Byline"/>
    <w:rsid w:val="00B01B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1B43"/>
    <w:pPr>
      <w:tabs>
        <w:tab w:val="clear" w:pos="3600"/>
        <w:tab w:val="clear" w:pos="3958"/>
      </w:tabs>
      <w:jc w:val="right"/>
    </w:pPr>
  </w:style>
  <w:style w:type="character" w:styleId="Emphasis">
    <w:name w:val="Emphasis"/>
    <w:basedOn w:val="DefaultParagraphFont"/>
    <w:qFormat/>
    <w:rsid w:val="00B01B43"/>
    <w:rPr>
      <w:i/>
    </w:rPr>
  </w:style>
  <w:style w:type="paragraph" w:styleId="Caption">
    <w:name w:val="caption"/>
    <w:basedOn w:val="BodyText"/>
    <w:next w:val="Normal"/>
    <w:qFormat/>
    <w:rsid w:val="00B01B43"/>
    <w:pPr>
      <w:framePr w:w="2268" w:hSpace="181" w:vSpace="181" w:wrap="around" w:vAnchor="text" w:hAnchor="page" w:x="1135" w:y="285" w:anchorLock="1"/>
    </w:pPr>
    <w:rPr>
      <w:i/>
    </w:rPr>
  </w:style>
  <w:style w:type="paragraph" w:customStyle="1" w:styleId="MiniTOCTitle">
    <w:name w:val="MiniTOCTitle"/>
    <w:basedOn w:val="Heading4"/>
    <w:rsid w:val="00B01B43"/>
    <w:pPr>
      <w:spacing w:before="240"/>
      <w:outlineLvl w:val="9"/>
    </w:pPr>
    <w:rPr>
      <w:noProof/>
      <w:sz w:val="24"/>
    </w:rPr>
  </w:style>
  <w:style w:type="paragraph" w:customStyle="1" w:styleId="MiniTOCItem">
    <w:name w:val="MiniTOCItem"/>
    <w:basedOn w:val="ListBullet"/>
    <w:rsid w:val="00B01B43"/>
    <w:pPr>
      <w:numPr>
        <w:numId w:val="0"/>
      </w:numPr>
      <w:tabs>
        <w:tab w:val="right" w:leader="dot" w:pos="6521"/>
      </w:tabs>
      <w:spacing w:before="0" w:after="0"/>
    </w:pPr>
  </w:style>
  <w:style w:type="paragraph" w:customStyle="1" w:styleId="TOFTitle">
    <w:name w:val="TOFTitle"/>
    <w:basedOn w:val="TOCTitle"/>
    <w:rsid w:val="00B01B43"/>
  </w:style>
  <w:style w:type="paragraph" w:styleId="TableofFigures">
    <w:name w:val="table of figures"/>
    <w:basedOn w:val="Normal"/>
    <w:next w:val="Normal"/>
    <w:semiHidden/>
    <w:rsid w:val="00B01B43"/>
    <w:pPr>
      <w:tabs>
        <w:tab w:val="right" w:leader="dot" w:pos="9072"/>
      </w:tabs>
      <w:ind w:left="970" w:hanging="403"/>
    </w:pPr>
    <w:rPr>
      <w:rFonts w:ascii="Times New Roman" w:hAnsi="Times New Roman"/>
      <w:b/>
    </w:rPr>
  </w:style>
  <w:style w:type="paragraph" w:styleId="ListNumber">
    <w:name w:val="List Number"/>
    <w:basedOn w:val="List"/>
    <w:rsid w:val="00B01B43"/>
    <w:pPr>
      <w:numPr>
        <w:numId w:val="14"/>
      </w:numPr>
      <w:tabs>
        <w:tab w:val="clear" w:pos="340"/>
      </w:tabs>
    </w:pPr>
  </w:style>
  <w:style w:type="character" w:customStyle="1" w:styleId="WingdingSymbols">
    <w:name w:val="Wingding Symbols"/>
    <w:rsid w:val="00B01B43"/>
    <w:rPr>
      <w:rFonts w:ascii="Wingdings" w:hAnsi="Wingdings"/>
    </w:rPr>
  </w:style>
  <w:style w:type="paragraph" w:customStyle="1" w:styleId="TableHeading">
    <w:name w:val="Table Heading"/>
    <w:basedOn w:val="HeadingBase"/>
    <w:rsid w:val="00B01B43"/>
    <w:pPr>
      <w:keepLines/>
      <w:pBdr>
        <w:bottom w:val="single" w:sz="6" w:space="1" w:color="918585"/>
      </w:pBdr>
      <w:spacing w:before="240"/>
    </w:pPr>
  </w:style>
  <w:style w:type="character" w:customStyle="1" w:styleId="HotSpot">
    <w:name w:val="HotSpot"/>
    <w:rsid w:val="00B01B43"/>
    <w:rPr>
      <w:color w:val="0033CC"/>
      <w:u w:val="none"/>
    </w:rPr>
  </w:style>
  <w:style w:type="paragraph" w:customStyle="1" w:styleId="BodyTextRight">
    <w:name w:val="Body Text Right"/>
    <w:basedOn w:val="BodyText"/>
    <w:rsid w:val="00B01B43"/>
    <w:pPr>
      <w:spacing w:before="0" w:after="0"/>
      <w:jc w:val="right"/>
    </w:pPr>
  </w:style>
  <w:style w:type="paragraph" w:styleId="Index3">
    <w:name w:val="index 3"/>
    <w:basedOn w:val="ListNumber2"/>
    <w:next w:val="Normal"/>
    <w:semiHidden/>
    <w:rsid w:val="00B01B43"/>
    <w:pPr>
      <w:numPr>
        <w:numId w:val="0"/>
      </w:numPr>
      <w:tabs>
        <w:tab w:val="right" w:leader="dot" w:pos="4176"/>
      </w:tabs>
    </w:pPr>
  </w:style>
  <w:style w:type="paragraph" w:styleId="ListNumber2">
    <w:name w:val="List Number 2"/>
    <w:basedOn w:val="List2"/>
    <w:rsid w:val="00B01B43"/>
    <w:pPr>
      <w:numPr>
        <w:numId w:val="9"/>
      </w:numPr>
      <w:tabs>
        <w:tab w:val="clear" w:pos="1060"/>
      </w:tabs>
    </w:pPr>
  </w:style>
  <w:style w:type="paragraph" w:customStyle="1" w:styleId="MarginNote">
    <w:name w:val="Margin Note"/>
    <w:basedOn w:val="BodyText"/>
    <w:rsid w:val="00B01B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1B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1B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1B43"/>
    <w:rPr>
      <w:sz w:val="32"/>
    </w:rPr>
  </w:style>
  <w:style w:type="paragraph" w:customStyle="1" w:styleId="HeadingProcedure">
    <w:name w:val="Heading Procedure"/>
    <w:basedOn w:val="HeadingBase"/>
    <w:next w:val="Normal"/>
    <w:rsid w:val="00B01B43"/>
    <w:pPr>
      <w:tabs>
        <w:tab w:val="left" w:pos="0"/>
      </w:tabs>
      <w:spacing w:before="120" w:after="60"/>
    </w:pPr>
    <w:rPr>
      <w:i/>
      <w:color w:val="918585"/>
      <w:sz w:val="22"/>
    </w:rPr>
  </w:style>
  <w:style w:type="paragraph" w:customStyle="1" w:styleId="TableBodyText">
    <w:name w:val="Table Body Text"/>
    <w:basedOn w:val="BodyText"/>
    <w:rsid w:val="00B01B43"/>
    <w:pPr>
      <w:spacing w:before="60" w:after="60"/>
    </w:pPr>
  </w:style>
  <w:style w:type="paragraph" w:styleId="ListContinue">
    <w:name w:val="List Continue"/>
    <w:basedOn w:val="List"/>
    <w:rsid w:val="00B01B43"/>
    <w:pPr>
      <w:ind w:firstLine="0"/>
    </w:pPr>
  </w:style>
  <w:style w:type="paragraph" w:customStyle="1" w:styleId="ListNote">
    <w:name w:val="List Note"/>
    <w:basedOn w:val="List"/>
    <w:rsid w:val="00B01B43"/>
    <w:pPr>
      <w:pBdr>
        <w:top w:val="single" w:sz="6" w:space="2" w:color="918585"/>
        <w:bottom w:val="single" w:sz="6" w:space="2" w:color="918585"/>
      </w:pBdr>
      <w:tabs>
        <w:tab w:val="left" w:pos="1021"/>
      </w:tabs>
      <w:ind w:firstLine="0"/>
    </w:pPr>
  </w:style>
  <w:style w:type="paragraph" w:customStyle="1" w:styleId="Warning">
    <w:name w:val="Warning"/>
    <w:basedOn w:val="BodyText"/>
    <w:rsid w:val="00B01B43"/>
    <w:pPr>
      <w:shd w:val="clear" w:color="auto" w:fill="D9D9D9"/>
      <w:tabs>
        <w:tab w:val="left" w:pos="992"/>
      </w:tabs>
      <w:ind w:left="119" w:right="119"/>
    </w:pPr>
    <w:rPr>
      <w:sz w:val="20"/>
    </w:rPr>
  </w:style>
  <w:style w:type="paragraph" w:customStyle="1" w:styleId="MarginIcons">
    <w:name w:val="Margin Icons"/>
    <w:basedOn w:val="BodyText"/>
    <w:rsid w:val="00B01B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1B43"/>
    <w:rPr>
      <w:rFonts w:ascii="Courier New" w:hAnsi="Courier New"/>
    </w:rPr>
  </w:style>
  <w:style w:type="paragraph" w:customStyle="1" w:styleId="NoteBullet">
    <w:name w:val="Note Bullet"/>
    <w:basedOn w:val="Note"/>
    <w:rsid w:val="00B01B43"/>
    <w:pPr>
      <w:tabs>
        <w:tab w:val="clear" w:pos="680"/>
      </w:tabs>
      <w:spacing w:before="60" w:after="60"/>
    </w:pPr>
  </w:style>
  <w:style w:type="paragraph" w:customStyle="1" w:styleId="SubHeading2">
    <w:name w:val="SubHeading2"/>
    <w:basedOn w:val="HeadingBase"/>
    <w:rsid w:val="00B01B43"/>
    <w:pPr>
      <w:spacing w:before="240" w:after="60"/>
    </w:pPr>
    <w:rPr>
      <w:sz w:val="20"/>
    </w:rPr>
  </w:style>
  <w:style w:type="paragraph" w:customStyle="1" w:styleId="SubHeading1">
    <w:name w:val="SubHeading1"/>
    <w:basedOn w:val="HeadingBase"/>
    <w:rsid w:val="00B01B43"/>
    <w:pPr>
      <w:spacing w:before="240" w:after="60"/>
    </w:pPr>
    <w:rPr>
      <w:color w:val="918585"/>
      <w:sz w:val="22"/>
    </w:rPr>
  </w:style>
  <w:style w:type="paragraph" w:customStyle="1" w:styleId="SideHeading">
    <w:name w:val="Side Heading"/>
    <w:basedOn w:val="HeadingBase"/>
    <w:rsid w:val="00B01B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1B43"/>
    <w:pPr>
      <w:numPr>
        <w:numId w:val="10"/>
      </w:numPr>
    </w:pPr>
  </w:style>
  <w:style w:type="paragraph" w:styleId="PlainText">
    <w:name w:val="Plain Text"/>
    <w:basedOn w:val="Normal"/>
    <w:link w:val="PlainTextChar"/>
    <w:rsid w:val="00B01B43"/>
    <w:rPr>
      <w:sz w:val="20"/>
    </w:rPr>
  </w:style>
  <w:style w:type="character" w:customStyle="1" w:styleId="PlainTextChar">
    <w:name w:val="Plain Text Char"/>
    <w:basedOn w:val="DefaultParagraphFont"/>
    <w:link w:val="PlainText"/>
    <w:rsid w:val="00B01B43"/>
    <w:rPr>
      <w:rFonts w:ascii="Courier New" w:eastAsia="Times New Roman" w:hAnsi="Courier New" w:cs="Times New Roman"/>
      <w:sz w:val="20"/>
      <w:szCs w:val="20"/>
      <w:lang w:eastAsia="en-US"/>
    </w:rPr>
  </w:style>
  <w:style w:type="character" w:customStyle="1" w:styleId="MenuOption">
    <w:name w:val="Menu Option"/>
    <w:basedOn w:val="DefaultParagraphFont"/>
    <w:rsid w:val="00B01B43"/>
    <w:rPr>
      <w:b/>
      <w:smallCaps/>
    </w:rPr>
  </w:style>
  <w:style w:type="paragraph" w:customStyle="1" w:styleId="TableListNumber">
    <w:name w:val="Table List Number"/>
    <w:basedOn w:val="ListNumber"/>
    <w:rsid w:val="00B01B43"/>
    <w:pPr>
      <w:numPr>
        <w:numId w:val="0"/>
      </w:numPr>
    </w:pPr>
  </w:style>
  <w:style w:type="paragraph" w:styleId="TOC4">
    <w:name w:val="toc 4"/>
    <w:basedOn w:val="TOCBase"/>
    <w:next w:val="Normal"/>
    <w:semiHidden/>
    <w:rsid w:val="00B01B43"/>
    <w:pPr>
      <w:tabs>
        <w:tab w:val="right" w:leader="dot" w:pos="9071"/>
      </w:tabs>
      <w:ind w:left="1701"/>
    </w:pPr>
  </w:style>
  <w:style w:type="paragraph" w:customStyle="1" w:styleId="ListAlpha">
    <w:name w:val="List Alpha"/>
    <w:basedOn w:val="List"/>
    <w:rsid w:val="00B01B43"/>
    <w:pPr>
      <w:numPr>
        <w:numId w:val="8"/>
      </w:numPr>
    </w:pPr>
  </w:style>
  <w:style w:type="paragraph" w:customStyle="1" w:styleId="ListAlpha2">
    <w:name w:val="List Alpha 2"/>
    <w:basedOn w:val="List2"/>
    <w:rsid w:val="00B01B43"/>
    <w:pPr>
      <w:numPr>
        <w:numId w:val="7"/>
      </w:numPr>
    </w:pPr>
  </w:style>
  <w:style w:type="paragraph" w:styleId="List2">
    <w:name w:val="List 2"/>
    <w:basedOn w:val="BodyText"/>
    <w:rsid w:val="00B01B43"/>
    <w:pPr>
      <w:tabs>
        <w:tab w:val="left" w:pos="680"/>
      </w:tabs>
      <w:spacing w:before="60" w:after="60"/>
      <w:ind w:left="680" w:hanging="340"/>
    </w:pPr>
  </w:style>
  <w:style w:type="paragraph" w:styleId="List3">
    <w:name w:val="List 3"/>
    <w:basedOn w:val="BodyText"/>
    <w:rsid w:val="00B01B43"/>
    <w:pPr>
      <w:tabs>
        <w:tab w:val="left" w:pos="1021"/>
      </w:tabs>
      <w:spacing w:before="60" w:after="60"/>
      <w:ind w:left="1020" w:hanging="340"/>
    </w:pPr>
  </w:style>
  <w:style w:type="paragraph" w:styleId="List4">
    <w:name w:val="List 4"/>
    <w:basedOn w:val="BodyText"/>
    <w:rsid w:val="00B01B43"/>
    <w:pPr>
      <w:tabs>
        <w:tab w:val="left" w:pos="1361"/>
      </w:tabs>
      <w:spacing w:before="60" w:after="60"/>
      <w:ind w:left="1361" w:hanging="340"/>
    </w:pPr>
  </w:style>
  <w:style w:type="paragraph" w:styleId="List5">
    <w:name w:val="List 5"/>
    <w:basedOn w:val="BodyText"/>
    <w:rsid w:val="00B01B43"/>
    <w:pPr>
      <w:tabs>
        <w:tab w:val="left" w:pos="1701"/>
      </w:tabs>
      <w:spacing w:before="60" w:after="60"/>
      <w:ind w:left="1701" w:hanging="340"/>
    </w:pPr>
  </w:style>
  <w:style w:type="paragraph" w:styleId="ListBullet3">
    <w:name w:val="List Bullet 3"/>
    <w:basedOn w:val="List3"/>
    <w:rsid w:val="00B01B43"/>
    <w:pPr>
      <w:numPr>
        <w:numId w:val="13"/>
      </w:numPr>
      <w:tabs>
        <w:tab w:val="clear" w:pos="1021"/>
      </w:tabs>
      <w:ind w:left="1037" w:hanging="357"/>
    </w:pPr>
  </w:style>
  <w:style w:type="paragraph" w:styleId="ListBullet4">
    <w:name w:val="List Bullet 4"/>
    <w:basedOn w:val="List4"/>
    <w:rsid w:val="00B01B43"/>
    <w:pPr>
      <w:numPr>
        <w:numId w:val="2"/>
      </w:numPr>
      <w:tabs>
        <w:tab w:val="clear" w:pos="1361"/>
      </w:tabs>
    </w:pPr>
  </w:style>
  <w:style w:type="paragraph" w:styleId="ListBullet5">
    <w:name w:val="List Bullet 5"/>
    <w:basedOn w:val="List5"/>
    <w:rsid w:val="00B01B43"/>
    <w:pPr>
      <w:numPr>
        <w:numId w:val="3"/>
      </w:numPr>
    </w:pPr>
  </w:style>
  <w:style w:type="paragraph" w:styleId="ListContinue2">
    <w:name w:val="List Continue 2"/>
    <w:basedOn w:val="List2"/>
    <w:rsid w:val="00B01B43"/>
    <w:pPr>
      <w:ind w:firstLine="0"/>
    </w:pPr>
  </w:style>
  <w:style w:type="paragraph" w:styleId="ListContinue3">
    <w:name w:val="List Continue 3"/>
    <w:basedOn w:val="List3"/>
    <w:rsid w:val="00B01B43"/>
    <w:pPr>
      <w:ind w:left="1021" w:firstLine="0"/>
    </w:pPr>
  </w:style>
  <w:style w:type="paragraph" w:styleId="ListContinue4">
    <w:name w:val="List Continue 4"/>
    <w:basedOn w:val="List4"/>
    <w:rsid w:val="00B01B43"/>
    <w:pPr>
      <w:ind w:firstLine="0"/>
    </w:pPr>
  </w:style>
  <w:style w:type="paragraph" w:styleId="ListContinue5">
    <w:name w:val="List Continue 5"/>
    <w:basedOn w:val="List5"/>
    <w:rsid w:val="00B01B43"/>
    <w:pPr>
      <w:ind w:firstLine="0"/>
    </w:pPr>
  </w:style>
  <w:style w:type="paragraph" w:styleId="ListNumber3">
    <w:name w:val="List Number 3"/>
    <w:basedOn w:val="List3"/>
    <w:rsid w:val="00B01B43"/>
    <w:pPr>
      <w:numPr>
        <w:numId w:val="4"/>
      </w:numPr>
    </w:pPr>
  </w:style>
  <w:style w:type="paragraph" w:styleId="ListNumber4">
    <w:name w:val="List Number 4"/>
    <w:basedOn w:val="List4"/>
    <w:rsid w:val="00B01B43"/>
    <w:pPr>
      <w:numPr>
        <w:numId w:val="5"/>
      </w:numPr>
    </w:pPr>
  </w:style>
  <w:style w:type="paragraph" w:styleId="ListNumber5">
    <w:name w:val="List Number 5"/>
    <w:basedOn w:val="List5"/>
    <w:rsid w:val="00B01B43"/>
    <w:pPr>
      <w:numPr>
        <w:numId w:val="6"/>
      </w:numPr>
    </w:pPr>
  </w:style>
  <w:style w:type="paragraph" w:styleId="BlockText">
    <w:name w:val="Block Text"/>
    <w:basedOn w:val="Normal"/>
    <w:rsid w:val="00B01B43"/>
    <w:pPr>
      <w:spacing w:after="120"/>
      <w:ind w:left="1440" w:right="1440"/>
    </w:pPr>
  </w:style>
  <w:style w:type="character" w:customStyle="1" w:styleId="Subscript">
    <w:name w:val="Subscript"/>
    <w:basedOn w:val="DefaultParagraphFont"/>
    <w:rsid w:val="00B01B43"/>
    <w:rPr>
      <w:sz w:val="16"/>
      <w:vertAlign w:val="subscript"/>
    </w:rPr>
  </w:style>
  <w:style w:type="character" w:customStyle="1" w:styleId="Superscript">
    <w:name w:val="Superscript"/>
    <w:basedOn w:val="DefaultParagraphFont"/>
    <w:rsid w:val="00B01B43"/>
    <w:rPr>
      <w:sz w:val="16"/>
      <w:vertAlign w:val="superscript"/>
    </w:rPr>
  </w:style>
  <w:style w:type="character" w:customStyle="1" w:styleId="Symbols">
    <w:name w:val="Symbols"/>
    <w:basedOn w:val="DefaultParagraphFont"/>
    <w:rsid w:val="00B01B43"/>
    <w:rPr>
      <w:rFonts w:ascii="Symbol" w:hAnsi="Symbol"/>
    </w:rPr>
  </w:style>
  <w:style w:type="character" w:customStyle="1" w:styleId="MenuOptions">
    <w:name w:val="Menu Options"/>
    <w:basedOn w:val="DefaultParagraphFont"/>
    <w:rsid w:val="00B01B43"/>
    <w:rPr>
      <w:rFonts w:ascii="Arial Narrow" w:hAnsi="Arial Narrow"/>
      <w:smallCaps/>
    </w:rPr>
  </w:style>
  <w:style w:type="character" w:customStyle="1" w:styleId="Buttons">
    <w:name w:val="Buttons"/>
    <w:basedOn w:val="DefaultParagraphFont"/>
    <w:rsid w:val="00B01B43"/>
    <w:rPr>
      <w:b/>
    </w:rPr>
  </w:style>
  <w:style w:type="character" w:customStyle="1" w:styleId="Underlined">
    <w:name w:val="Underlined"/>
    <w:basedOn w:val="DefaultParagraphFont"/>
    <w:rsid w:val="00B01B43"/>
    <w:rPr>
      <w:u w:val="single"/>
    </w:rPr>
  </w:style>
  <w:style w:type="paragraph" w:customStyle="1" w:styleId="TableBodyTextRight">
    <w:name w:val="Table Body Text Right"/>
    <w:basedOn w:val="TableBodyText"/>
    <w:rsid w:val="00B01B43"/>
    <w:pPr>
      <w:widowControl w:val="0"/>
      <w:autoSpaceDE w:val="0"/>
      <w:autoSpaceDN w:val="0"/>
      <w:adjustRightInd w:val="0"/>
      <w:jc w:val="right"/>
    </w:pPr>
    <w:rPr>
      <w:rFonts w:cs="Arial"/>
      <w:szCs w:val="18"/>
    </w:rPr>
  </w:style>
  <w:style w:type="paragraph" w:customStyle="1" w:styleId="CopyrightText">
    <w:name w:val="Copyright Text"/>
    <w:basedOn w:val="BodyText"/>
    <w:rsid w:val="00B01B43"/>
    <w:rPr>
      <w:sz w:val="18"/>
    </w:rPr>
  </w:style>
  <w:style w:type="paragraph" w:customStyle="1" w:styleId="BodySmallRight">
    <w:name w:val="Body Small Right"/>
    <w:basedOn w:val="BodyTextRight"/>
    <w:rsid w:val="00B01B43"/>
    <w:rPr>
      <w:sz w:val="18"/>
      <w:szCs w:val="18"/>
    </w:rPr>
  </w:style>
  <w:style w:type="paragraph" w:customStyle="1" w:styleId="MarginEdition">
    <w:name w:val="Margin Edition"/>
    <w:basedOn w:val="MarginNote"/>
    <w:rsid w:val="00B01B43"/>
    <w:pPr>
      <w:spacing w:before="0" w:after="0"/>
    </w:pPr>
    <w:rPr>
      <w:rFonts w:ascii="Times New Roman" w:hAnsi="Times New Roman"/>
      <w:color w:val="999999"/>
    </w:rPr>
  </w:style>
  <w:style w:type="paragraph" w:customStyle="1" w:styleId="Spacer">
    <w:name w:val="Spacer"/>
    <w:basedOn w:val="Normal"/>
    <w:rsid w:val="00B01B43"/>
    <w:rPr>
      <w:sz w:val="2"/>
      <w:szCs w:val="2"/>
    </w:rPr>
  </w:style>
  <w:style w:type="character" w:customStyle="1" w:styleId="Small">
    <w:name w:val="Small"/>
    <w:basedOn w:val="DefaultParagraphFont"/>
    <w:rsid w:val="00B01B43"/>
    <w:rPr>
      <w:sz w:val="16"/>
    </w:rPr>
  </w:style>
  <w:style w:type="paragraph" w:customStyle="1" w:styleId="WideTable">
    <w:name w:val="Wide Table"/>
    <w:basedOn w:val="Normal"/>
    <w:rsid w:val="00B01B43"/>
    <w:pPr>
      <w:ind w:left="-1418"/>
    </w:pPr>
    <w:rPr>
      <w:sz w:val="2"/>
      <w:szCs w:val="2"/>
    </w:rPr>
  </w:style>
  <w:style w:type="character" w:styleId="PageNumber">
    <w:name w:val="page number"/>
    <w:basedOn w:val="DefaultParagraphFont"/>
    <w:rsid w:val="00B01B43"/>
  </w:style>
  <w:style w:type="paragraph" w:styleId="Quote">
    <w:name w:val="Quote"/>
    <w:basedOn w:val="Heading1"/>
    <w:link w:val="QuoteChar"/>
    <w:qFormat/>
    <w:rsid w:val="00B01B43"/>
    <w:rPr>
      <w:b w:val="0"/>
      <w:sz w:val="72"/>
      <w:szCs w:val="72"/>
      <w:lang w:val="en-NZ"/>
    </w:rPr>
  </w:style>
  <w:style w:type="character" w:customStyle="1" w:styleId="QuoteChar">
    <w:name w:val="Quote Char"/>
    <w:basedOn w:val="DefaultParagraphFont"/>
    <w:link w:val="Quote"/>
    <w:rsid w:val="00B01B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1B43"/>
    <w:pPr>
      <w:pageBreakBefore/>
    </w:pPr>
  </w:style>
  <w:style w:type="paragraph" w:customStyle="1" w:styleId="Border">
    <w:name w:val="Border"/>
    <w:basedOn w:val="Normal"/>
    <w:qFormat/>
    <w:rsid w:val="00B01B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1B43"/>
    <w:rPr>
      <w:b/>
      <w:bCs/>
      <w:i/>
      <w:iCs/>
      <w:color w:val="auto"/>
    </w:rPr>
  </w:style>
  <w:style w:type="paragraph" w:styleId="IntenseQuote">
    <w:name w:val="Intense Quote"/>
    <w:basedOn w:val="Normal"/>
    <w:next w:val="Normal"/>
    <w:link w:val="IntenseQuoteChar"/>
    <w:uiPriority w:val="30"/>
    <w:qFormat/>
    <w:rsid w:val="00B01B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1B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1B43"/>
    <w:rPr>
      <w:smallCaps/>
      <w:color w:val="auto"/>
      <w:u w:val="single"/>
    </w:rPr>
  </w:style>
  <w:style w:type="character" w:styleId="IntenseReference">
    <w:name w:val="Intense Reference"/>
    <w:basedOn w:val="DefaultParagraphFont"/>
    <w:uiPriority w:val="32"/>
    <w:qFormat/>
    <w:rsid w:val="00B01B43"/>
    <w:rPr>
      <w:b/>
      <w:bCs/>
      <w:smallCaps/>
      <w:color w:val="auto"/>
      <w:spacing w:val="5"/>
      <w:u w:val="single"/>
    </w:rPr>
  </w:style>
  <w:style w:type="paragraph" w:customStyle="1" w:styleId="2ColumnHeading">
    <w:name w:val="2Column Heading"/>
    <w:basedOn w:val="BodyText"/>
    <w:qFormat/>
    <w:rsid w:val="00B01B43"/>
    <w:pPr>
      <w:spacing w:after="60"/>
      <w:ind w:left="-2268"/>
    </w:pPr>
    <w:rPr>
      <w:b/>
    </w:rPr>
  </w:style>
  <w:style w:type="paragraph" w:customStyle="1" w:styleId="Heading1TOC">
    <w:name w:val="Heading1 TOC"/>
    <w:basedOn w:val="Normal"/>
    <w:qFormat/>
    <w:rsid w:val="00B01B43"/>
    <w:pPr>
      <w:spacing w:before="240" w:after="120"/>
    </w:pPr>
    <w:rPr>
      <w:rFonts w:ascii="Times New Roman" w:hAnsi="Times New Roman"/>
      <w:b/>
      <w:sz w:val="32"/>
    </w:rPr>
  </w:style>
  <w:style w:type="paragraph" w:customStyle="1" w:styleId="Heading2TOC">
    <w:name w:val="Heading2 TOC"/>
    <w:basedOn w:val="Normal"/>
    <w:qFormat/>
    <w:rsid w:val="00B01B43"/>
    <w:pPr>
      <w:spacing w:before="240" w:after="60"/>
    </w:pPr>
    <w:rPr>
      <w:rFonts w:ascii="Times New Roman" w:hAnsi="Times New Roman"/>
      <w:b/>
      <w:sz w:val="28"/>
    </w:rPr>
  </w:style>
  <w:style w:type="character" w:customStyle="1" w:styleId="Underline">
    <w:name w:val="Underline"/>
    <w:basedOn w:val="DefaultParagraphFont"/>
    <w:qFormat/>
    <w:rsid w:val="00B01B43"/>
    <w:rPr>
      <w:u w:val="single"/>
    </w:rPr>
  </w:style>
  <w:style w:type="paragraph" w:styleId="BalloonText">
    <w:name w:val="Balloon Text"/>
    <w:basedOn w:val="Normal"/>
    <w:link w:val="BalloonTextChar"/>
    <w:rsid w:val="00B01B43"/>
    <w:rPr>
      <w:rFonts w:ascii="Tahoma" w:hAnsi="Tahoma" w:cs="Tahoma"/>
      <w:sz w:val="16"/>
      <w:szCs w:val="16"/>
    </w:rPr>
  </w:style>
  <w:style w:type="character" w:customStyle="1" w:styleId="BalloonTextChar">
    <w:name w:val="Balloon Text Char"/>
    <w:basedOn w:val="DefaultParagraphFont"/>
    <w:link w:val="BalloonText"/>
    <w:rsid w:val="00B01B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1B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1B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1B43"/>
    <w:rPr>
      <w:b/>
      <w:color w:val="660033"/>
      <w:spacing w:val="0"/>
    </w:rPr>
  </w:style>
  <w:style w:type="paragraph" w:customStyle="1" w:styleId="Nameditemlist">
    <w:name w:val="Named item list"/>
    <w:basedOn w:val="BodyText"/>
    <w:qFormat/>
    <w:rsid w:val="00B01B43"/>
    <w:pPr>
      <w:tabs>
        <w:tab w:val="left" w:pos="2835"/>
      </w:tabs>
      <w:ind w:left="2835" w:hanging="2835"/>
    </w:pPr>
  </w:style>
  <w:style w:type="paragraph" w:customStyle="1" w:styleId="BodyTextnopadding">
    <w:name w:val="Body Text no padding"/>
    <w:basedOn w:val="BodyText"/>
    <w:qFormat/>
    <w:rsid w:val="00B01B43"/>
    <w:pPr>
      <w:spacing w:before="0" w:after="0"/>
    </w:pPr>
  </w:style>
  <w:style w:type="paragraph" w:customStyle="1" w:styleId="BodyTextBold">
    <w:name w:val="Body Text Bold"/>
    <w:basedOn w:val="BodyText"/>
    <w:qFormat/>
    <w:rsid w:val="00B01B43"/>
    <w:rPr>
      <w:b/>
    </w:rPr>
  </w:style>
  <w:style w:type="character" w:styleId="Hyperlink">
    <w:name w:val="Hyperlink"/>
    <w:basedOn w:val="DefaultParagraphFont"/>
    <w:uiPriority w:val="99"/>
    <w:unhideWhenUsed/>
    <w:rsid w:val="003E79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802</Words>
  <Characters>5350</Characters>
  <Application>Microsoft Office Word</Application>
  <DocSecurity>0</DocSecurity>
  <Lines>232</Lines>
  <Paragraphs>120</Paragraphs>
  <ScaleCrop>false</ScaleCrop>
  <Company>Author-it Software Corporation Ltd.</Company>
  <LinksUpToDate>false</LinksUpToDate>
  <CharactersWithSpaces>6032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CPPCMN4001 Develop workplace policies and procedures for sustainability</dc:title>
  <dc:subject>Approved</dc:subject>
  <dc:creator>Artibus Innovation</dc:creator>
  <cp:keywords>Release: 1</cp:keywords>
  <dc:description>Review Date: 12 April 2008</dc:description>
  <cp:lastModifiedBy>HSD_TPCMSd.prod</cp:lastModifiedBy>
  <cp:revision>3</cp:revision>
  <dcterms:created xsi:type="dcterms:W3CDTF">2021-05-19T13:07:00Z</dcterms:created>
  <dcterms:modified xsi:type="dcterms:W3CDTF">2021-05-19T13:07:00Z</dcterms:modified>
</cp:coreProperties>
</file>