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A0D" w:rsidP="005C5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CPPBDN8105 Lead the building design team</w:t>
      </w:r>
      <w:r>
        <w:fldChar w:fldCharType="end"/>
      </w:r>
    </w:p>
    <w:p w:rsidR="005C5A0D" w:rsidP="005C5A0D">
      <w:pPr>
        <w:pStyle w:val="Version"/>
        <w:sectPr w:rsidSect="00C61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1A1" w:rsidP="00C611A1">
      <w:pPr>
        <w:pStyle w:val="SuperHeading"/>
      </w:pPr>
      <w:r w:rsidRPr="00C611A1">
        <w:t>CPPBDN8105 Lead the building design team</w:t>
      </w:r>
    </w:p>
    <w:p w:rsidR="00000000" w:rsidRPr="00C611A1" w:rsidP="00C611A1">
      <w:pPr>
        <w:pStyle w:val="Heading1"/>
      </w:pPr>
      <w:bookmarkStart w:id="1" w:name="O_1138155"/>
      <w:bookmarkEnd w:id="1"/>
      <w:r w:rsidRPr="00C61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1A1" w:rsidP="00C611A1">
            <w:pPr>
              <w:pStyle w:val="BodyText"/>
            </w:pPr>
            <w:r w:rsidRPr="00C611A1">
              <w:t>This version first released with CPP Property Services Training Package Release 11.0.</w:t>
            </w:r>
          </w:p>
          <w:p w:rsidR="00000000" w:rsidRPr="00C611A1" w:rsidP="00C611A1">
            <w:pPr>
              <w:pStyle w:val="BodyText"/>
            </w:pPr>
            <w:r w:rsidRPr="00C611A1">
              <w:t>Supersedes and is equivalent to CPPBDN8004A Lead the building design team.  Updated to meet the Standards for Training Packages 2012.</w:t>
            </w:r>
          </w:p>
        </w:tc>
      </w:tr>
    </w:tbl>
    <w:p w:rsidR="00000000" w:rsidRPr="00C611A1" w:rsidP="00C611A1">
      <w:pPr>
        <w:pStyle w:val="BodyText"/>
      </w:pP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2" w:name="O_1138161"/>
      <w:bookmarkEnd w:id="2"/>
      <w:r w:rsidRPr="00C611A1">
        <w:t>Application</w:t>
      </w:r>
    </w:p>
    <w:p w:rsidR="00000000" w:rsidRPr="00C611A1" w:rsidP="005C5A0D">
      <w:pPr>
        <w:pStyle w:val="BodyText"/>
      </w:pPr>
      <w:r w:rsidRPr="00C611A1">
        <w:t>This unit specifies the knowledge and skills required to lead and manage a building design team including establishing and coordinating team technical and creative skills to meet client needs. It includes responding to staff dev</w:t>
      </w:r>
      <w:r w:rsidRPr="00C611A1">
        <w:t>elopment needs, complying with employment processes, providing comprehensive and appropriate role definitions and monitoring staff performance.</w:t>
      </w:r>
    </w:p>
    <w:p w:rsidR="00000000" w:rsidRPr="00C611A1" w:rsidP="005C5A0D">
      <w:pPr>
        <w:pStyle w:val="BodyText"/>
      </w:pPr>
      <w:r w:rsidRPr="00C611A1">
        <w:t xml:space="preserve">This unit is suitable for experienced building designers who apply broad and coherent theoretical and technical </w:t>
      </w:r>
      <w:r w:rsidRPr="00C611A1">
        <w:t>knowledge and highly specialised skills to manage building design projects with autonomy and judgement and to deal with sometimes complex and unpredictable contingencies.</w:t>
      </w:r>
    </w:p>
    <w:p w:rsidR="00000000" w:rsidRPr="00C611A1" w:rsidP="005C5A0D">
      <w:pPr>
        <w:pStyle w:val="BodyText"/>
      </w:pPr>
      <w:r w:rsidRPr="00C611A1">
        <w:t>This unit forms part of the licensing requirements for people engaged in building des</w:t>
      </w:r>
      <w:r w:rsidRPr="00C611A1">
        <w:t>ign in some states and territories. For further information, check with the relevant regulatory authority.</w:t>
      </w:r>
    </w:p>
    <w:p w:rsidR="00000000" w:rsidRPr="00C611A1" w:rsidP="00C611A1">
      <w:pPr>
        <w:pStyle w:val="Heading1"/>
      </w:pPr>
      <w:bookmarkStart w:id="3" w:name="O_1138160"/>
      <w:bookmarkEnd w:id="3"/>
      <w:r w:rsidRPr="00C611A1">
        <w:t>Pre-requisite Unit</w:t>
      </w:r>
    </w:p>
    <w:p w:rsidR="00000000" w:rsidRPr="00C611A1" w:rsidP="005C5A0D">
      <w:pPr>
        <w:pStyle w:val="BodyText"/>
      </w:pPr>
      <w:r w:rsidRPr="00C611A1">
        <w:t>Nil.</w:t>
      </w:r>
    </w:p>
    <w:p w:rsidR="00000000" w:rsidRPr="00C611A1" w:rsidP="00C611A1">
      <w:pPr>
        <w:pStyle w:val="Heading1"/>
      </w:pPr>
      <w:bookmarkStart w:id="4" w:name="O_1138159"/>
      <w:bookmarkEnd w:id="4"/>
      <w:r w:rsidRPr="00C611A1">
        <w:t>Unit Sector</w:t>
      </w:r>
    </w:p>
    <w:p w:rsidR="00000000" w:rsidRPr="00C611A1" w:rsidP="005C5A0D">
      <w:pPr>
        <w:pStyle w:val="BodyText"/>
      </w:pPr>
      <w:r w:rsidRPr="00C611A1">
        <w:t>Building Design</w:t>
      </w:r>
    </w:p>
    <w:p w:rsidR="00000000" w:rsidRPr="00C611A1" w:rsidP="00C611A1">
      <w:pPr>
        <w:pStyle w:val="Heading1"/>
      </w:pPr>
      <w:bookmarkStart w:id="5" w:name="O_1138158"/>
      <w:bookmarkEnd w:id="5"/>
      <w:r w:rsidRPr="00C611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Elemen</w:t>
            </w:r>
            <w:r w:rsidRPr="00C611A1">
              <w:t>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Performance criteria describe what needs to be done to demonstrate achievement of the element.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Determine staffing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 xml:space="preserve">Analyse workplace goals and requirements of work to be undertaken. 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 xml:space="preserve">Assess existing staff skill mix and identify gaps for </w:t>
            </w:r>
            <w:r w:rsidRPr="00C611A1">
              <w:t>effective completion of projects.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Establish need for additional staff or contractors to meet project requirements.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Apply organisational human resource policies to support effective team operation.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Measure and monitor staff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 xml:space="preserve">Establish objectives and key performance indicators for individual roles in response to workplace requirements. 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Review staff performance using a structured performance appraisal system.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Analyse performance appraisals to identify resource requirements and professional development needs of staff.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Provide support to individuals a</w:t>
            </w:r>
            <w:r w:rsidRPr="00C611A1">
              <w:t>nd teams to enhance performance and achievement workplace goals.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Manage performance in line with workplace and legislative requirements.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Respond to professional development needs of staff.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 xml:space="preserve">Identify current and future professional development needs of staff. 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Provide opportunities for staff members to develop their creative, design and technical skills within the workplace.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 xml:space="preserve">Budget and plan to meet training and development needs </w:t>
            </w:r>
            <w:r w:rsidRPr="00C611A1">
              <w:t>of staff.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Manage team effectiveness.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Establish and maintain effective communication channels with staff and contractors.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Communicate workplace plans and projects and involve staff in planning processes.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Guide teams and individuals to establish objectives, responsibilities and accountabilities.</w:t>
            </w:r>
          </w:p>
        </w:tc>
      </w:tr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1A1" w:rsidP="00C611A1">
            <w:pPr>
              <w:pStyle w:val="BodyText"/>
            </w:pPr>
            <w:r w:rsidRPr="00C611A1">
              <w:t xml:space="preserve">Trial and implement strategies to enhance team growth </w:t>
            </w:r>
            <w:r w:rsidRPr="00C611A1">
              <w:t>and motivation.</w:t>
            </w:r>
          </w:p>
        </w:tc>
      </w:tr>
    </w:tbl>
    <w:p w:rsidR="00000000" w:rsidRPr="00C611A1" w:rsidP="00C611A1">
      <w:pPr>
        <w:pStyle w:val="BodyText"/>
      </w:pP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6" w:name="O_1138157"/>
      <w:bookmarkEnd w:id="6"/>
      <w:r w:rsidRPr="00C611A1">
        <w:t>Foundation Skills</w:t>
      </w:r>
    </w:p>
    <w:p w:rsidR="00000000" w:rsidRPr="00C611A1" w:rsidP="005C5A0D">
      <w:pPr>
        <w:pStyle w:val="BodyText"/>
      </w:pPr>
      <w:r w:rsidRPr="00C611A1">
        <w:t>As well as the foundation skills explicit in the performance criteria of this unit, candidates require:</w:t>
      </w:r>
    </w:p>
    <w:p w:rsidR="00000000" w:rsidRPr="00C611A1" w:rsidP="00C611A1">
      <w:pPr>
        <w:pStyle w:val="ListBullet"/>
      </w:pPr>
      <w:r w:rsidRPr="00C611A1">
        <w:t>reading skills to:</w:t>
      </w:r>
    </w:p>
    <w:p w:rsidR="00000000" w:rsidRPr="00C611A1" w:rsidP="00C611A1">
      <w:pPr>
        <w:pStyle w:val="ListBullet2"/>
      </w:pPr>
      <w:r w:rsidRPr="00C611A1">
        <w:t>interpret and apply complex information in legislation, employment agreements and contracts</w:t>
      </w:r>
    </w:p>
    <w:p w:rsidR="00000000" w:rsidRPr="00C611A1" w:rsidP="00C611A1">
      <w:pPr>
        <w:pStyle w:val="ListBullet2"/>
      </w:pPr>
      <w:r w:rsidRPr="00C611A1">
        <w:t>analyse staff and skill profiles</w:t>
      </w:r>
    </w:p>
    <w:p w:rsidR="00000000" w:rsidRPr="00C611A1" w:rsidP="00C611A1">
      <w:pPr>
        <w:pStyle w:val="ListBullet"/>
      </w:pPr>
      <w:r w:rsidRPr="00C611A1">
        <w:t>written and oral skills to communicate appropriately for the audience and situation</w:t>
      </w:r>
    </w:p>
    <w:p w:rsidR="00000000" w:rsidRPr="00C611A1" w:rsidP="00C611A1">
      <w:pPr>
        <w:pStyle w:val="ListBullet"/>
      </w:pPr>
      <w:r w:rsidRPr="00C611A1">
        <w:t>oral skills to manage conflict.</w:t>
      </w: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7" w:name="O_1138156"/>
      <w:bookmarkEnd w:id="7"/>
      <w:r w:rsidRPr="00C611A1">
        <w:t>Unit Mapping Information</w:t>
      </w:r>
    </w:p>
    <w:p w:rsidR="00000000" w:rsidRPr="00C611A1" w:rsidP="005C5A0D">
      <w:pPr>
        <w:pStyle w:val="BodyText"/>
      </w:pPr>
      <w:r w:rsidRPr="00C611A1">
        <w:t>Supersedes and is equivalent to CPPBDN8004A Lead the building design team.</w:t>
      </w:r>
    </w:p>
    <w:p w:rsidR="00000000" w:rsidRPr="00C611A1" w:rsidP="00C611A1">
      <w:pPr>
        <w:pStyle w:val="Heading1"/>
      </w:pPr>
      <w:bookmarkStart w:id="8" w:name="O_1138149"/>
      <w:bookmarkEnd w:id="8"/>
      <w:r w:rsidRPr="00C611A1">
        <w:t>Li</w:t>
      </w:r>
      <w:r w:rsidRPr="00C611A1">
        <w:t>nks</w:t>
      </w:r>
    </w:p>
    <w:p w:rsidR="00000000" w:rsidRPr="00C611A1" w:rsidP="005C5A0D">
      <w:pPr>
        <w:pStyle w:val="BodyText"/>
      </w:pPr>
      <w:r w:rsidRPr="00C611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31E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611A1" w:rsidP="005C5A0D">
      <w:pPr>
        <w:pStyle w:val="BodyText"/>
        <w:sectPr w:rsidSect="00C611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1A1" w:rsidP="00C611A1">
      <w:pPr>
        <w:pStyle w:val="SuperHeading"/>
      </w:pPr>
      <w:r w:rsidRPr="00C611A1">
        <w:t xml:space="preserve">Assessment </w:t>
      </w:r>
      <w:r w:rsidRPr="00C611A1">
        <w:t>Requirements for CPPBDN8105 Lead the building design team</w:t>
      </w:r>
    </w:p>
    <w:p w:rsidR="00000000" w:rsidRPr="00C611A1" w:rsidP="00C611A1">
      <w:pPr>
        <w:pStyle w:val="Heading1"/>
      </w:pPr>
      <w:bookmarkStart w:id="9" w:name="O_1138151"/>
      <w:bookmarkEnd w:id="9"/>
      <w:r w:rsidRPr="00C61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1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1A1">
            <w:pPr>
              <w:pStyle w:val="BodyText"/>
              <w:rPr>
                <w:lang w:val="en-NZ"/>
              </w:rPr>
            </w:pPr>
            <w:r w:rsidRPr="00C611A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1A1" w:rsidP="00C611A1">
            <w:pPr>
              <w:pStyle w:val="BodyText"/>
            </w:pPr>
            <w:r w:rsidRPr="00C611A1">
              <w:t>This version first released with CPP Property Services Training Package Release 11.0.</w:t>
            </w:r>
          </w:p>
          <w:p w:rsidR="00000000" w:rsidRPr="00C611A1" w:rsidP="00C611A1">
            <w:pPr>
              <w:pStyle w:val="BodyText"/>
            </w:pPr>
            <w:r w:rsidRPr="00C611A1">
              <w:t>Supersedes and is equivalent to CPPBDN8004A Lead the building d</w:t>
            </w:r>
            <w:r w:rsidRPr="00C611A1">
              <w:t>esign team.  Updated to meet the Standards for Training Packages 2012.</w:t>
            </w:r>
          </w:p>
        </w:tc>
      </w:tr>
    </w:tbl>
    <w:p w:rsidR="00000000" w:rsidRPr="00C611A1" w:rsidP="00C611A1">
      <w:pPr>
        <w:pStyle w:val="BodyText"/>
      </w:pP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10" w:name="O_1138154"/>
      <w:bookmarkEnd w:id="10"/>
      <w:r w:rsidRPr="00C611A1">
        <w:t>Performance Evidence</w:t>
      </w:r>
    </w:p>
    <w:p w:rsidR="00000000" w:rsidRPr="00C611A1" w:rsidP="005C5A0D">
      <w:pPr>
        <w:pStyle w:val="BodyText"/>
      </w:pPr>
      <w:r w:rsidRPr="00C611A1">
        <w:t>To demonstrate competency, a candidate must meet the performance criteria of this unit by:</w:t>
      </w:r>
    </w:p>
    <w:p w:rsidR="00000000" w:rsidRPr="00C611A1" w:rsidP="00C611A1">
      <w:pPr>
        <w:pStyle w:val="ListBullet"/>
      </w:pPr>
      <w:r w:rsidRPr="00C611A1">
        <w:t>analysing and establishing the staffing requirement</w:t>
      </w:r>
      <w:r w:rsidRPr="00C611A1">
        <w:t xml:space="preserve">s of a design team </w:t>
      </w:r>
    </w:p>
    <w:p w:rsidR="00000000" w:rsidRPr="00C611A1" w:rsidP="00C611A1">
      <w:pPr>
        <w:pStyle w:val="ListBullet"/>
      </w:pPr>
      <w:r w:rsidRPr="00C611A1">
        <w:t>monitoring and measuring performance of at least two members of the building design team</w:t>
      </w:r>
    </w:p>
    <w:p w:rsidR="00000000" w:rsidRPr="00C611A1" w:rsidP="00C611A1">
      <w:pPr>
        <w:pStyle w:val="ListBullet"/>
      </w:pPr>
      <w:r w:rsidRPr="00C611A1">
        <w:t>determining and meeting skill development requirements for at least two members of the building design team</w:t>
      </w:r>
    </w:p>
    <w:p w:rsidR="00000000" w:rsidRPr="00C611A1" w:rsidP="005C5A0D">
      <w:pPr>
        <w:pStyle w:val="BodyText"/>
      </w:pPr>
      <w:r w:rsidRPr="00C611A1">
        <w:t>for one building design project involving building of Type A construction, as defined in the National Construction Code (NCC).</w:t>
      </w:r>
    </w:p>
    <w:p w:rsidR="00000000" w:rsidRPr="00C611A1" w:rsidP="00C611A1">
      <w:pPr>
        <w:pStyle w:val="Heading1"/>
      </w:pPr>
      <w:bookmarkStart w:id="11" w:name="O_1138153"/>
      <w:bookmarkEnd w:id="11"/>
      <w:r w:rsidRPr="00C611A1">
        <w:t>Knowledge Evidence</w:t>
      </w:r>
    </w:p>
    <w:p w:rsidR="00000000" w:rsidRPr="00C611A1" w:rsidP="005C5A0D">
      <w:pPr>
        <w:pStyle w:val="BodyText"/>
      </w:pPr>
      <w:r w:rsidRPr="00C611A1">
        <w:t>To be competent in this unit, a candidate must demonstrate knowledge of:</w:t>
      </w:r>
    </w:p>
    <w:p w:rsidR="00000000" w:rsidRPr="00C611A1" w:rsidP="00C611A1">
      <w:pPr>
        <w:pStyle w:val="ListBullet"/>
      </w:pPr>
      <w:r w:rsidRPr="00C611A1">
        <w:t>relevant local, s</w:t>
      </w:r>
      <w:r w:rsidRPr="00C611A1">
        <w:t>tate/territory and national legislative, industry and workplace requirements:</w:t>
      </w:r>
    </w:p>
    <w:p w:rsidR="00000000" w:rsidRPr="00C611A1" w:rsidP="00C611A1">
      <w:pPr>
        <w:pStyle w:val="ListBullet2"/>
      </w:pPr>
      <w:r w:rsidRPr="00C611A1">
        <w:t xml:space="preserve">work health and safety (WHS) </w:t>
      </w:r>
    </w:p>
    <w:p w:rsidR="00000000" w:rsidRPr="00C611A1" w:rsidP="00C611A1">
      <w:pPr>
        <w:pStyle w:val="ListBullet2"/>
      </w:pPr>
      <w:r w:rsidRPr="00C611A1">
        <w:t>employment and workplace legislation</w:t>
      </w:r>
    </w:p>
    <w:p w:rsidR="00000000" w:rsidRPr="00C611A1" w:rsidP="00C611A1">
      <w:pPr>
        <w:pStyle w:val="ListBullet"/>
      </w:pPr>
      <w:r w:rsidRPr="00C611A1">
        <w:t>processes and procedures for human resource planning:</w:t>
      </w:r>
    </w:p>
    <w:p w:rsidR="00000000" w:rsidRPr="00C611A1" w:rsidP="00C611A1">
      <w:pPr>
        <w:pStyle w:val="ListBullet2"/>
      </w:pPr>
      <w:r w:rsidRPr="00C611A1">
        <w:t>enterprise bargaining agreements</w:t>
      </w:r>
    </w:p>
    <w:p w:rsidR="00000000" w:rsidRPr="00C611A1" w:rsidP="00C611A1">
      <w:pPr>
        <w:pStyle w:val="ListBullet2"/>
      </w:pPr>
      <w:r w:rsidRPr="00C611A1">
        <w:t>administration of rec</w:t>
      </w:r>
      <w:r w:rsidRPr="00C611A1">
        <w:t>ords and databases</w:t>
      </w:r>
    </w:p>
    <w:p w:rsidR="00000000" w:rsidRPr="00C611A1" w:rsidP="00C611A1">
      <w:pPr>
        <w:pStyle w:val="ListBullet2"/>
      </w:pPr>
      <w:r w:rsidRPr="00C611A1">
        <w:t xml:space="preserve">induction processes </w:t>
      </w:r>
    </w:p>
    <w:p w:rsidR="00000000" w:rsidRPr="00C611A1" w:rsidP="00C611A1">
      <w:pPr>
        <w:pStyle w:val="ListBullet2"/>
      </w:pPr>
      <w:r w:rsidRPr="00C611A1">
        <w:t xml:space="preserve">position descriptions </w:t>
      </w:r>
    </w:p>
    <w:p w:rsidR="00000000" w:rsidRPr="00C611A1" w:rsidP="00C611A1">
      <w:pPr>
        <w:pStyle w:val="ListBullet2"/>
      </w:pPr>
      <w:r w:rsidRPr="00C611A1">
        <w:t>leave entitlements</w:t>
      </w:r>
    </w:p>
    <w:p w:rsidR="00000000" w:rsidRPr="00C611A1" w:rsidP="00C611A1">
      <w:pPr>
        <w:pStyle w:val="ListBullet2"/>
      </w:pPr>
      <w:r w:rsidRPr="00C611A1">
        <w:t>recruitment and selection</w:t>
      </w:r>
    </w:p>
    <w:p w:rsidR="00000000" w:rsidRPr="00C611A1" w:rsidP="00C611A1">
      <w:pPr>
        <w:pStyle w:val="ListBullet2"/>
      </w:pPr>
      <w:r w:rsidRPr="00C611A1">
        <w:t>remuneration practices</w:t>
      </w:r>
    </w:p>
    <w:p w:rsidR="00000000" w:rsidRPr="00C611A1" w:rsidP="00C611A1">
      <w:pPr>
        <w:pStyle w:val="ListBullet2"/>
      </w:pPr>
      <w:r w:rsidRPr="00C611A1">
        <w:t>rewards and recognition practices</w:t>
      </w:r>
    </w:p>
    <w:p w:rsidR="00000000" w:rsidRPr="00C611A1" w:rsidP="00C611A1">
      <w:pPr>
        <w:pStyle w:val="ListBullet2"/>
      </w:pPr>
      <w:r w:rsidRPr="00C611A1">
        <w:t>termination procedures</w:t>
      </w:r>
    </w:p>
    <w:p w:rsidR="00000000" w:rsidRPr="00C611A1" w:rsidP="00C611A1">
      <w:pPr>
        <w:pStyle w:val="ListBullet"/>
      </w:pPr>
      <w:r w:rsidRPr="00C611A1">
        <w:t>performance appraisal models and their application:</w:t>
      </w:r>
    </w:p>
    <w:p w:rsidR="00000000" w:rsidRPr="00C611A1" w:rsidP="00C611A1">
      <w:pPr>
        <w:pStyle w:val="ListBullet2"/>
      </w:pPr>
      <w:r w:rsidRPr="00C611A1">
        <w:t>formal appraisals</w:t>
      </w:r>
    </w:p>
    <w:p w:rsidR="00000000" w:rsidRPr="00C611A1" w:rsidP="00C611A1">
      <w:pPr>
        <w:pStyle w:val="ListBullet2"/>
      </w:pPr>
      <w:r w:rsidRPr="00C611A1">
        <w:t>informal one-on-one review discussions</w:t>
      </w:r>
    </w:p>
    <w:p w:rsidR="00000000" w:rsidRPr="00C611A1" w:rsidP="00C611A1">
      <w:pPr>
        <w:pStyle w:val="ListBullet2"/>
      </w:pPr>
      <w:r w:rsidRPr="00C611A1">
        <w:t>probationary reviews</w:t>
      </w:r>
    </w:p>
    <w:p w:rsidR="00000000" w:rsidRPr="00C611A1" w:rsidP="00C611A1">
      <w:pPr>
        <w:pStyle w:val="ListBullet"/>
      </w:pPr>
      <w:r w:rsidRPr="00C611A1">
        <w:t>leadership models and styles:</w:t>
      </w:r>
    </w:p>
    <w:p w:rsidR="00000000" w:rsidRPr="00C611A1" w:rsidP="00C611A1">
      <w:pPr>
        <w:pStyle w:val="ListBullet2"/>
      </w:pPr>
      <w:r w:rsidRPr="00C611A1">
        <w:t>types of leaders</w:t>
      </w:r>
    </w:p>
    <w:p w:rsidR="00000000" w:rsidRPr="00C611A1" w:rsidP="00C611A1">
      <w:pPr>
        <w:pStyle w:val="ListBullet2"/>
      </w:pPr>
      <w:r w:rsidRPr="00C611A1">
        <w:t>delegation</w:t>
      </w:r>
    </w:p>
    <w:p w:rsidR="00000000" w:rsidRPr="00C611A1" w:rsidP="00C611A1">
      <w:pPr>
        <w:pStyle w:val="ListBullet"/>
      </w:pPr>
      <w:r w:rsidRPr="00C611A1">
        <w:t>motivation and coaching:</w:t>
      </w:r>
    </w:p>
    <w:p w:rsidR="00000000" w:rsidRPr="00C611A1" w:rsidP="00C611A1">
      <w:pPr>
        <w:pStyle w:val="ListBullet2"/>
      </w:pPr>
      <w:r w:rsidRPr="00C611A1">
        <w:t>theories of motivation</w:t>
      </w:r>
    </w:p>
    <w:p w:rsidR="00000000" w:rsidRPr="00C611A1" w:rsidP="00C611A1">
      <w:pPr>
        <w:pStyle w:val="ListBullet2"/>
      </w:pPr>
      <w:r w:rsidRPr="00C611A1">
        <w:t>mentoring</w:t>
      </w:r>
    </w:p>
    <w:p w:rsidR="00000000" w:rsidRPr="00C611A1" w:rsidP="00C611A1">
      <w:pPr>
        <w:pStyle w:val="ListBullet"/>
      </w:pPr>
      <w:r w:rsidRPr="00C611A1">
        <w:t>strategies to facilitate team development and effectiveness:</w:t>
      </w:r>
    </w:p>
    <w:p w:rsidR="00000000" w:rsidRPr="00C611A1" w:rsidP="00C611A1">
      <w:pPr>
        <w:pStyle w:val="ListBullet2"/>
      </w:pPr>
      <w:r w:rsidRPr="00C611A1">
        <w:t>on or off job training and development</w:t>
      </w:r>
    </w:p>
    <w:p w:rsidR="00000000" w:rsidRPr="00C611A1" w:rsidP="00C611A1">
      <w:pPr>
        <w:pStyle w:val="ListBullet2"/>
      </w:pPr>
      <w:r w:rsidRPr="00C611A1">
        <w:t>problem solving</w:t>
      </w:r>
    </w:p>
    <w:p w:rsidR="00000000" w:rsidRPr="00C611A1" w:rsidP="00C611A1">
      <w:pPr>
        <w:pStyle w:val="ListBullet2"/>
      </w:pPr>
      <w:r w:rsidRPr="00C611A1">
        <w:t xml:space="preserve">communication processes.  </w:t>
      </w: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12" w:name="O_1138152"/>
      <w:bookmarkEnd w:id="12"/>
      <w:r w:rsidRPr="00C611A1">
        <w:t>Assessment Conditions</w:t>
      </w:r>
    </w:p>
    <w:p w:rsidR="00000000" w:rsidRPr="00C611A1" w:rsidP="005C5A0D">
      <w:pPr>
        <w:pStyle w:val="BodyText"/>
      </w:pPr>
      <w:r w:rsidRPr="00C611A1">
        <w:t>Assessors must meet the requirements for assessors contained in the Sta</w:t>
      </w:r>
      <w:r w:rsidRPr="00C611A1">
        <w:t>ndards for Registered Training Organisations. Competency is to be assessed in the workplace or a simulated environment that accurately reflects performance in a real workplace setting where these skills and knowledge would be performed. This includes acces</w:t>
      </w:r>
      <w:r w:rsidRPr="00C611A1">
        <w:t>s to:</w:t>
      </w:r>
    </w:p>
    <w:p w:rsidR="00000000" w:rsidRPr="00C611A1" w:rsidP="00C611A1">
      <w:pPr>
        <w:pStyle w:val="ListBullet"/>
      </w:pPr>
      <w:r w:rsidRPr="00C611A1">
        <w:t>computer with internet access and word processing software</w:t>
      </w:r>
    </w:p>
    <w:p w:rsidR="00000000" w:rsidRPr="00C611A1" w:rsidP="00C611A1">
      <w:pPr>
        <w:pStyle w:val="ListBullet"/>
      </w:pPr>
      <w:r w:rsidRPr="00C611A1">
        <w:t>relevant legislation, regulations, codes, standards and workplace policies and procedures</w:t>
      </w:r>
    </w:p>
    <w:p w:rsidR="00000000" w:rsidRPr="00C611A1" w:rsidP="00C611A1">
      <w:pPr>
        <w:pStyle w:val="ListBullet"/>
      </w:pPr>
      <w:r w:rsidRPr="00C611A1">
        <w:t>relevant building design information and team details.</w:t>
      </w:r>
    </w:p>
    <w:p w:rsidR="00000000" w:rsidRPr="00C611A1" w:rsidP="00C611A1">
      <w:pPr>
        <w:pStyle w:val="AllowPageBreak"/>
      </w:pPr>
    </w:p>
    <w:p w:rsidR="00000000" w:rsidRPr="00C611A1" w:rsidP="00C611A1">
      <w:pPr>
        <w:pStyle w:val="Heading1"/>
      </w:pPr>
      <w:bookmarkStart w:id="13" w:name="O_1138150"/>
      <w:bookmarkEnd w:id="13"/>
      <w:r w:rsidRPr="00C611A1">
        <w:t>Links</w:t>
      </w:r>
    </w:p>
    <w:p w:rsidR="00000000" w:rsidRPr="00C611A1" w:rsidP="005C5A0D">
      <w:pPr>
        <w:pStyle w:val="BodyText"/>
      </w:pPr>
      <w:r w:rsidRPr="00C611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31E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611A1" w:rsidP="00C611A1"/>
    <w:sectPr w:rsidSect="00C611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 w:rsidRPr="005C5A0D" w:rsidP="005C5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0D" w:rsidP="00C61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A0D" w:rsidP="00C61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C5A0D" w:rsidP="00C611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 w:rsidP="00C61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A0D">
      <w:t>Approved</w:t>
    </w:r>
    <w:r w:rsidR="005C5A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A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A0D">
      <w:rPr>
        <w:noProof/>
      </w:rPr>
      <w:t>4</w:t>
    </w:r>
    <w:r>
      <w:rPr>
        <w:noProof/>
      </w:rPr>
      <w:fldChar w:fldCharType="end"/>
    </w:r>
  </w:p>
  <w:p w:rsidR="00C611A1" w:rsidP="00C61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A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A0D">
      <w:t>BuildSkills Australia</w:t>
    </w:r>
    <w:r w:rsidR="005C5A0D">
      <w:fldChar w:fldCharType="end"/>
    </w:r>
  </w:p>
  <w:p w:rsidR="00C611A1" w:rsidP="00C61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1A1" w:rsidRPr="005C5A0D" w:rsidP="005C5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0D" w:rsidRPr="002D2AF8" w:rsidP="00C61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CPPBDN8105 Lead the building design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A0D" w:rsidP="00C611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A1" w:rsidRPr="002D2AF8" w:rsidP="00C61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A0D">
      <w:t>CPPBDN8105 Lead the building design team</w:t>
    </w:r>
    <w:r w:rsidR="005C5A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A0D">
      <w:rPr>
        <w:noProof/>
      </w:rPr>
      <w:t>2 March 2025</w:t>
    </w:r>
    <w:r>
      <w:fldChar w:fldCharType="end"/>
    </w:r>
  </w:p>
  <w:p w:rsidR="00C611A1" w:rsidP="00C61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90C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60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CA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1A1"/>
  </w:style>
  <w:style w:type="character" w:customStyle="1" w:styleId="Heading1Char">
    <w:name w:val="Heading 1 Char"/>
    <w:basedOn w:val="DefaultParagraphFont"/>
    <w:link w:val="Heading1"/>
    <w:rsid w:val="00C61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1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1A1"/>
    <w:rPr>
      <w:b/>
      <w:spacing w:val="0"/>
    </w:rPr>
  </w:style>
  <w:style w:type="paragraph" w:customStyle="1" w:styleId="SuperTitle">
    <w:name w:val="SuperTitle"/>
    <w:basedOn w:val="Title"/>
    <w:rsid w:val="00C61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1A1"/>
    <w:rPr>
      <w:i/>
    </w:rPr>
  </w:style>
  <w:style w:type="paragraph" w:styleId="Caption">
    <w:name w:val="caption"/>
    <w:basedOn w:val="BodyText"/>
    <w:next w:val="Normal"/>
    <w:qFormat/>
    <w:rsid w:val="00C61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1A1"/>
  </w:style>
  <w:style w:type="paragraph" w:styleId="TableofFigures">
    <w:name w:val="table of figures"/>
    <w:basedOn w:val="Normal"/>
    <w:next w:val="Normal"/>
    <w:semiHidden/>
    <w:rsid w:val="00C61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1A1"/>
    <w:rPr>
      <w:rFonts w:ascii="Wingdings" w:hAnsi="Wingdings"/>
    </w:rPr>
  </w:style>
  <w:style w:type="paragraph" w:customStyle="1" w:styleId="TableHeading">
    <w:name w:val="Table Heading"/>
    <w:basedOn w:val="HeadingBase"/>
    <w:rsid w:val="00C61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1A1"/>
    <w:rPr>
      <w:color w:val="0033CC"/>
      <w:u w:val="none"/>
    </w:rPr>
  </w:style>
  <w:style w:type="paragraph" w:customStyle="1" w:styleId="BodyTextRight">
    <w:name w:val="Body Text Right"/>
    <w:basedOn w:val="BodyText"/>
    <w:rsid w:val="00C61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1A1"/>
    <w:rPr>
      <w:sz w:val="32"/>
    </w:rPr>
  </w:style>
  <w:style w:type="paragraph" w:customStyle="1" w:styleId="HeadingProcedure">
    <w:name w:val="Heading Procedure"/>
    <w:basedOn w:val="HeadingBase"/>
    <w:next w:val="Normal"/>
    <w:rsid w:val="00C61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1A1"/>
    <w:pPr>
      <w:spacing w:before="60" w:after="60"/>
    </w:pPr>
  </w:style>
  <w:style w:type="paragraph" w:styleId="ListContinue">
    <w:name w:val="List Continue"/>
    <w:basedOn w:val="List"/>
    <w:rsid w:val="00C611A1"/>
    <w:pPr>
      <w:ind w:firstLine="0"/>
    </w:pPr>
  </w:style>
  <w:style w:type="paragraph" w:customStyle="1" w:styleId="ListNote">
    <w:name w:val="List Note"/>
    <w:basedOn w:val="List"/>
    <w:rsid w:val="00C61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1A1"/>
    <w:rPr>
      <w:rFonts w:ascii="Courier New" w:hAnsi="Courier New"/>
    </w:rPr>
  </w:style>
  <w:style w:type="paragraph" w:customStyle="1" w:styleId="NoteBullet">
    <w:name w:val="Note Bullet"/>
    <w:basedOn w:val="Note"/>
    <w:rsid w:val="00C61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1A1"/>
    <w:rPr>
      <w:b/>
      <w:smallCaps/>
    </w:rPr>
  </w:style>
  <w:style w:type="paragraph" w:customStyle="1" w:styleId="TableListNumber">
    <w:name w:val="Table List Number"/>
    <w:basedOn w:val="ListNumber"/>
    <w:rsid w:val="00C61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1A1"/>
    <w:pPr>
      <w:numPr>
        <w:numId w:val="9"/>
      </w:numPr>
    </w:pPr>
  </w:style>
  <w:style w:type="paragraph" w:customStyle="1" w:styleId="ListAlpha2">
    <w:name w:val="List Alpha 2"/>
    <w:basedOn w:val="List2"/>
    <w:rsid w:val="00C611A1"/>
    <w:pPr>
      <w:numPr>
        <w:numId w:val="8"/>
      </w:numPr>
    </w:pPr>
  </w:style>
  <w:style w:type="paragraph" w:styleId="List2">
    <w:name w:val="List 2"/>
    <w:basedOn w:val="BodyText"/>
    <w:rsid w:val="00C61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1A1"/>
    <w:pPr>
      <w:numPr>
        <w:numId w:val="4"/>
      </w:numPr>
    </w:pPr>
  </w:style>
  <w:style w:type="paragraph" w:styleId="ListContinue2">
    <w:name w:val="List Continue 2"/>
    <w:basedOn w:val="List2"/>
    <w:rsid w:val="00C611A1"/>
    <w:pPr>
      <w:ind w:firstLine="0"/>
    </w:pPr>
  </w:style>
  <w:style w:type="paragraph" w:styleId="ListContinue3">
    <w:name w:val="List Continue 3"/>
    <w:basedOn w:val="List3"/>
    <w:rsid w:val="00C611A1"/>
    <w:pPr>
      <w:ind w:left="1021" w:firstLine="0"/>
    </w:pPr>
  </w:style>
  <w:style w:type="paragraph" w:styleId="ListContinue4">
    <w:name w:val="List Continue 4"/>
    <w:basedOn w:val="List4"/>
    <w:rsid w:val="00C611A1"/>
    <w:pPr>
      <w:ind w:firstLine="0"/>
    </w:pPr>
  </w:style>
  <w:style w:type="paragraph" w:styleId="ListContinue5">
    <w:name w:val="List Continue 5"/>
    <w:basedOn w:val="List5"/>
    <w:rsid w:val="00C611A1"/>
    <w:pPr>
      <w:ind w:firstLine="0"/>
    </w:pPr>
  </w:style>
  <w:style w:type="paragraph" w:styleId="ListNumber3">
    <w:name w:val="List Number 3"/>
    <w:basedOn w:val="List3"/>
    <w:rsid w:val="00C611A1"/>
    <w:pPr>
      <w:numPr>
        <w:numId w:val="5"/>
      </w:numPr>
    </w:pPr>
  </w:style>
  <w:style w:type="paragraph" w:styleId="ListNumber4">
    <w:name w:val="List Number 4"/>
    <w:basedOn w:val="List4"/>
    <w:rsid w:val="00C611A1"/>
    <w:pPr>
      <w:numPr>
        <w:numId w:val="6"/>
      </w:numPr>
    </w:pPr>
  </w:style>
  <w:style w:type="paragraph" w:styleId="ListNumber5">
    <w:name w:val="List Number 5"/>
    <w:basedOn w:val="List5"/>
    <w:rsid w:val="00C611A1"/>
    <w:pPr>
      <w:numPr>
        <w:numId w:val="7"/>
      </w:numPr>
    </w:pPr>
  </w:style>
  <w:style w:type="paragraph" w:styleId="BlockText">
    <w:name w:val="Block Text"/>
    <w:basedOn w:val="Normal"/>
    <w:rsid w:val="00C61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1A1"/>
    <w:rPr>
      <w:sz w:val="16"/>
      <w:vertAlign w:val="superscript"/>
    </w:rPr>
  </w:style>
  <w:style w:type="character" w:customStyle="1" w:styleId="Symbols">
    <w:name w:val="Symbols"/>
    <w:basedOn w:val="DefaultParagraphFont"/>
    <w:rsid w:val="00C611A1"/>
    <w:rPr>
      <w:rFonts w:ascii="Symbol" w:hAnsi="Symbol"/>
    </w:rPr>
  </w:style>
  <w:style w:type="character" w:customStyle="1" w:styleId="MenuOptions">
    <w:name w:val="Menu Options"/>
    <w:basedOn w:val="DefaultParagraphFont"/>
    <w:rsid w:val="00C61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1A1"/>
    <w:rPr>
      <w:b/>
    </w:rPr>
  </w:style>
  <w:style w:type="character" w:customStyle="1" w:styleId="Underlined">
    <w:name w:val="Underlined"/>
    <w:basedOn w:val="DefaultParagraphFont"/>
    <w:rsid w:val="00C611A1"/>
    <w:rPr>
      <w:u w:val="single"/>
    </w:rPr>
  </w:style>
  <w:style w:type="paragraph" w:customStyle="1" w:styleId="TableBodyTextRight">
    <w:name w:val="Table Body Text Right"/>
    <w:basedOn w:val="TableBodyText"/>
    <w:rsid w:val="00C61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1A1"/>
    <w:rPr>
      <w:sz w:val="18"/>
    </w:rPr>
  </w:style>
  <w:style w:type="paragraph" w:customStyle="1" w:styleId="BodySmallRight">
    <w:name w:val="Body Small Right"/>
    <w:basedOn w:val="BodyTextRight"/>
    <w:rsid w:val="00C611A1"/>
    <w:rPr>
      <w:sz w:val="18"/>
      <w:szCs w:val="18"/>
    </w:rPr>
  </w:style>
  <w:style w:type="paragraph" w:customStyle="1" w:styleId="MarginEdition">
    <w:name w:val="Margin Edition"/>
    <w:basedOn w:val="MarginNote"/>
    <w:rsid w:val="00C61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1A1"/>
    <w:rPr>
      <w:sz w:val="2"/>
      <w:szCs w:val="2"/>
    </w:rPr>
  </w:style>
  <w:style w:type="character" w:customStyle="1" w:styleId="Small">
    <w:name w:val="Small"/>
    <w:basedOn w:val="DefaultParagraphFont"/>
    <w:rsid w:val="00C611A1"/>
    <w:rPr>
      <w:sz w:val="16"/>
    </w:rPr>
  </w:style>
  <w:style w:type="paragraph" w:customStyle="1" w:styleId="WideTable">
    <w:name w:val="Wide Table"/>
    <w:basedOn w:val="Normal"/>
    <w:rsid w:val="00C61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1A1"/>
  </w:style>
  <w:style w:type="paragraph" w:styleId="Quote">
    <w:name w:val="Quote"/>
    <w:basedOn w:val="Heading1"/>
    <w:link w:val="QuoteChar"/>
    <w:qFormat/>
    <w:rsid w:val="00C61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1A1"/>
    <w:pPr>
      <w:pageBreakBefore/>
    </w:pPr>
  </w:style>
  <w:style w:type="paragraph" w:customStyle="1" w:styleId="Border">
    <w:name w:val="Border"/>
    <w:basedOn w:val="Normal"/>
    <w:qFormat/>
    <w:rsid w:val="00C61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1A1"/>
    <w:rPr>
      <w:u w:val="single"/>
    </w:rPr>
  </w:style>
  <w:style w:type="character" w:customStyle="1" w:styleId="BoldandItalics">
    <w:name w:val="Bold and Italics"/>
    <w:qFormat/>
    <w:rsid w:val="00C611A1"/>
    <w:rPr>
      <w:b/>
      <w:i/>
      <w:u w:val="none"/>
    </w:rPr>
  </w:style>
  <w:style w:type="paragraph" w:styleId="BalloonText">
    <w:name w:val="Balloon Text"/>
    <w:basedOn w:val="Normal"/>
    <w:link w:val="BalloonTextChar"/>
    <w:rsid w:val="00C61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1A1"/>
    <w:pPr>
      <w:spacing w:before="0" w:after="0"/>
    </w:pPr>
  </w:style>
  <w:style w:type="paragraph" w:customStyle="1" w:styleId="BodyTextBold">
    <w:name w:val="Body Text Bold"/>
    <w:basedOn w:val="BodyText"/>
    <w:qFormat/>
    <w:rsid w:val="00C611A1"/>
    <w:rPr>
      <w:b/>
    </w:rPr>
  </w:style>
  <w:style w:type="character" w:styleId="Hyperlink">
    <w:name w:val="Hyperlink"/>
    <w:basedOn w:val="DefaultParagraphFont"/>
    <w:uiPriority w:val="99"/>
    <w:unhideWhenUsed/>
    <w:rsid w:val="005C5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5636</Characters>
  <Application>Microsoft Office Word</Application>
  <DocSecurity>0</DocSecurity>
  <Lines>225</Lines>
  <Paragraphs>138</Paragraphs>
  <ScaleCrop>false</ScaleCrop>
  <Company>Author-it Software Corporation Ltd.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CPPBDN8105 Lead the building design team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