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8EF" w:rsidP="00136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CPPBDN8104 Manage the design of large and complex building design projects</w:t>
      </w:r>
      <w:r>
        <w:fldChar w:fldCharType="end"/>
      </w:r>
    </w:p>
    <w:p w:rsidR="001368EF" w:rsidP="001368EF">
      <w:pPr>
        <w:pStyle w:val="Version"/>
        <w:sectPr w:rsidSect="00EA2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C5A" w:rsidP="00EA2C5A">
      <w:pPr>
        <w:pStyle w:val="SuperHeading"/>
      </w:pPr>
      <w:r w:rsidRPr="00EA2C5A">
        <w:t>Assessment Requirements for CPPBDN8104 Manage the design of large and complex building design projects</w:t>
      </w:r>
    </w:p>
    <w:p w:rsidR="00000000" w:rsidRPr="00EA2C5A" w:rsidP="00EA2C5A">
      <w:pPr>
        <w:pStyle w:val="Heading1"/>
      </w:pPr>
      <w:bookmarkStart w:id="1" w:name="O_1138134"/>
      <w:bookmarkEnd w:id="1"/>
      <w:r w:rsidRPr="00EA2C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A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5A">
            <w:pPr>
              <w:pStyle w:val="BodyText"/>
              <w:rPr>
                <w:lang w:val="en-NZ"/>
              </w:rPr>
            </w:pPr>
            <w:r w:rsidRPr="00EA2C5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5A" w:rsidP="00EA2C5A">
            <w:pPr>
              <w:pStyle w:val="BodyText"/>
            </w:pPr>
            <w:r w:rsidRPr="00EA2C5A">
              <w:t>This version first released with CPP Property Services Training Package Release 11.0.</w:t>
            </w:r>
          </w:p>
          <w:p w:rsidR="00000000" w:rsidRPr="00EA2C5A" w:rsidP="00EA2C5A">
            <w:pPr>
              <w:pStyle w:val="BodyText"/>
            </w:pPr>
            <w:r w:rsidRPr="00EA2C5A">
              <w:t>Supersedes and is equivalent to CPPBDN8007A Manage the design of Type A constructions.  Updated to meet the Standards for Training Packages 2012.</w:t>
            </w:r>
          </w:p>
        </w:tc>
      </w:tr>
    </w:tbl>
    <w:p w:rsidR="00000000" w:rsidRPr="00EA2C5A" w:rsidP="00EA2C5A">
      <w:pPr>
        <w:pStyle w:val="BodyText"/>
      </w:pPr>
    </w:p>
    <w:p w:rsidR="00000000" w:rsidRPr="00EA2C5A" w:rsidP="00EA2C5A">
      <w:pPr>
        <w:pStyle w:val="AllowPageBreak"/>
      </w:pPr>
    </w:p>
    <w:p w:rsidR="00000000" w:rsidRPr="00EA2C5A" w:rsidP="00EA2C5A">
      <w:pPr>
        <w:pStyle w:val="Heading1"/>
      </w:pPr>
      <w:bookmarkStart w:id="2" w:name="O_1138137"/>
      <w:bookmarkEnd w:id="2"/>
      <w:r w:rsidRPr="00EA2C5A">
        <w:t>Performance Evidence</w:t>
      </w:r>
    </w:p>
    <w:p w:rsidR="00000000" w:rsidRPr="00EA2C5A" w:rsidP="001368EF">
      <w:pPr>
        <w:pStyle w:val="BodyText"/>
      </w:pPr>
      <w:r w:rsidRPr="00EA2C5A">
        <w:t>To demonstrate competency, a candidate must meet the performance cri</w:t>
      </w:r>
      <w:r w:rsidRPr="00EA2C5A">
        <w:t>teria of this unit by managing the design of one Type A building design project, as defined by the National Construction Code (NCC), including:</w:t>
      </w:r>
    </w:p>
    <w:p w:rsidR="00000000" w:rsidRPr="00EA2C5A" w:rsidP="00EA2C5A">
      <w:pPr>
        <w:pStyle w:val="ListBullet"/>
      </w:pPr>
      <w:r w:rsidRPr="00EA2C5A">
        <w:t>planning and organising the production of design drawings that integrate expert and specialist input and meet p</w:t>
      </w:r>
      <w:r w:rsidRPr="00EA2C5A">
        <w:t>lanning approval requirements</w:t>
      </w:r>
    </w:p>
    <w:p w:rsidR="00000000" w:rsidRPr="00EA2C5A" w:rsidP="00EA2C5A">
      <w:pPr>
        <w:pStyle w:val="ListBullet"/>
      </w:pPr>
      <w:r w:rsidRPr="00EA2C5A">
        <w:t>producing sets of building design drawings and supporting information that meet quality requirements and are completed within project timelines.</w:t>
      </w:r>
    </w:p>
    <w:p w:rsidR="00000000" w:rsidRPr="00EA2C5A" w:rsidP="00EA2C5A">
      <w:pPr>
        <w:pStyle w:val="AllowPageBreak"/>
      </w:pPr>
    </w:p>
    <w:p w:rsidR="00000000" w:rsidRPr="00EA2C5A" w:rsidP="00EA2C5A">
      <w:pPr>
        <w:pStyle w:val="Heading1"/>
      </w:pPr>
      <w:bookmarkStart w:id="3" w:name="O_1138136"/>
      <w:bookmarkEnd w:id="3"/>
      <w:r w:rsidRPr="00EA2C5A">
        <w:t>Knowledge Evidence</w:t>
      </w:r>
    </w:p>
    <w:p w:rsidR="00000000" w:rsidRPr="00EA2C5A" w:rsidP="001368EF">
      <w:pPr>
        <w:pStyle w:val="BodyText"/>
      </w:pPr>
      <w:r w:rsidRPr="00EA2C5A">
        <w:t>To be competent in this unit, a candidate m</w:t>
      </w:r>
      <w:r w:rsidRPr="00EA2C5A">
        <w:t>ust demonstrate knowledge of:</w:t>
      </w:r>
    </w:p>
    <w:p w:rsidR="00000000" w:rsidRPr="00EA2C5A" w:rsidP="00EA2C5A">
      <w:pPr>
        <w:pStyle w:val="ListBullet"/>
      </w:pPr>
      <w:r w:rsidRPr="00EA2C5A">
        <w:t>relevant local, state and national legislative, industry and workplace requirements, codes and standards:</w:t>
      </w:r>
    </w:p>
    <w:p w:rsidR="00000000" w:rsidRPr="00EA2C5A" w:rsidP="00EA2C5A">
      <w:pPr>
        <w:pStyle w:val="ListBullet2"/>
      </w:pPr>
      <w:r w:rsidRPr="00EA2C5A">
        <w:t>work health and safety (WHS)</w:t>
      </w:r>
    </w:p>
    <w:p w:rsidR="00000000" w:rsidRPr="00EA2C5A" w:rsidP="00EA2C5A">
      <w:pPr>
        <w:pStyle w:val="ListBullet2"/>
      </w:pPr>
      <w:r w:rsidRPr="00EA2C5A">
        <w:t>legislation relating to building projects, including construction materials and methods</w:t>
      </w:r>
    </w:p>
    <w:p w:rsidR="00000000" w:rsidRPr="00EA2C5A" w:rsidP="00EA2C5A">
      <w:pPr>
        <w:pStyle w:val="ListBullet2"/>
      </w:pPr>
      <w:r w:rsidRPr="00EA2C5A">
        <w:t>insurance and indemnity requirements</w:t>
      </w:r>
    </w:p>
    <w:p w:rsidR="00000000" w:rsidRPr="00EA2C5A" w:rsidP="00EA2C5A">
      <w:pPr>
        <w:pStyle w:val="ListBullet2"/>
      </w:pPr>
      <w:r w:rsidRPr="00EA2C5A">
        <w:t>planning requirements, schemes and processes</w:t>
      </w:r>
    </w:p>
    <w:p w:rsidR="00000000" w:rsidRPr="00EA2C5A" w:rsidP="00EA2C5A">
      <w:pPr>
        <w:pStyle w:val="ListBullet2"/>
      </w:pPr>
      <w:r w:rsidRPr="00EA2C5A">
        <w:t>compliance relating to building design projects of Type A construction:</w:t>
      </w:r>
    </w:p>
    <w:p w:rsidR="00000000" w:rsidRPr="00EA2C5A" w:rsidP="00EA2C5A">
      <w:pPr>
        <w:pStyle w:val="ListBullet3"/>
      </w:pPr>
      <w:r w:rsidRPr="00EA2C5A">
        <w:t>Australian Standards</w:t>
      </w:r>
    </w:p>
    <w:p w:rsidR="00000000" w:rsidRPr="00EA2C5A" w:rsidP="00EA2C5A">
      <w:pPr>
        <w:pStyle w:val="ListBullet3"/>
      </w:pPr>
      <w:r w:rsidRPr="00EA2C5A">
        <w:t xml:space="preserve">NCC deemed-to-satisfy (DTS) and alternative solution requirements </w:t>
      </w:r>
    </w:p>
    <w:p w:rsidR="00000000" w:rsidRPr="00EA2C5A" w:rsidP="00EA2C5A">
      <w:pPr>
        <w:pStyle w:val="ListBullet"/>
      </w:pPr>
      <w:r w:rsidRPr="00EA2C5A">
        <w:t>environmental and sustainability principles, requirements and systems</w:t>
      </w:r>
    </w:p>
    <w:p w:rsidR="00000000" w:rsidRPr="00EA2C5A" w:rsidP="00EA2C5A">
      <w:pPr>
        <w:pStyle w:val="ListBullet"/>
      </w:pPr>
      <w:r w:rsidRPr="00EA2C5A">
        <w:t>duty of care responsibilities of building designers to ensure quality and safety of designs</w:t>
      </w:r>
    </w:p>
    <w:p w:rsidR="00000000" w:rsidRPr="00EA2C5A" w:rsidP="00EA2C5A">
      <w:pPr>
        <w:pStyle w:val="ListBullet"/>
      </w:pPr>
      <w:r w:rsidRPr="00EA2C5A">
        <w:t xml:space="preserve">sources of reliable information on compliance requirements </w:t>
      </w:r>
    </w:p>
    <w:p w:rsidR="00000000" w:rsidRPr="00EA2C5A" w:rsidP="00EA2C5A">
      <w:pPr>
        <w:pStyle w:val="ListBullet"/>
      </w:pPr>
      <w:r w:rsidRPr="00EA2C5A">
        <w:t>basic principles of structural eng</w:t>
      </w:r>
      <w:r w:rsidRPr="00EA2C5A">
        <w:t xml:space="preserve">ineering </w:t>
      </w:r>
    </w:p>
    <w:p w:rsidR="00000000" w:rsidRPr="00EA2C5A" w:rsidP="00EA2C5A">
      <w:pPr>
        <w:pStyle w:val="ListBullet"/>
      </w:pPr>
      <w:r w:rsidRPr="00EA2C5A">
        <w:t>building life cycles</w:t>
      </w:r>
    </w:p>
    <w:p w:rsidR="00000000" w:rsidRPr="00EA2C5A" w:rsidP="00EA2C5A">
      <w:pPr>
        <w:pStyle w:val="ListBullet"/>
      </w:pPr>
      <w:r w:rsidRPr="00EA2C5A">
        <w:t>contextual and site constraints</w:t>
      </w:r>
    </w:p>
    <w:p w:rsidR="00000000" w:rsidRPr="00EA2C5A" w:rsidP="00EA2C5A">
      <w:pPr>
        <w:pStyle w:val="ListBullet"/>
      </w:pPr>
      <w:r w:rsidRPr="00EA2C5A">
        <w:t>design development and approval processes and implications of changes to design at each stage</w:t>
      </w:r>
    </w:p>
    <w:p w:rsidR="00000000" w:rsidRPr="00EA2C5A" w:rsidP="00EA2C5A">
      <w:pPr>
        <w:pStyle w:val="ListBullet"/>
      </w:pPr>
      <w:r w:rsidRPr="00EA2C5A">
        <w:t>design drawing and representation methods</w:t>
      </w:r>
    </w:p>
    <w:p w:rsidR="00000000" w:rsidRPr="00EA2C5A" w:rsidP="00EA2C5A">
      <w:pPr>
        <w:pStyle w:val="ListBullet"/>
      </w:pPr>
      <w:r w:rsidRPr="00EA2C5A">
        <w:t>scientific and social principles of human interactions wi</w:t>
      </w:r>
      <w:r w:rsidRPr="00EA2C5A">
        <w:t>th the built environment</w:t>
      </w:r>
    </w:p>
    <w:p w:rsidR="00000000" w:rsidRPr="00EA2C5A" w:rsidP="00EA2C5A">
      <w:pPr>
        <w:pStyle w:val="ListBullet"/>
      </w:pPr>
      <w:r w:rsidRPr="00EA2C5A">
        <w:t>use of design software and systems that may include application of 3-D modelling.</w:t>
      </w:r>
    </w:p>
    <w:p w:rsidR="00000000" w:rsidRPr="00EA2C5A" w:rsidP="00EA2C5A">
      <w:pPr>
        <w:pStyle w:val="AllowPageBreak"/>
      </w:pPr>
    </w:p>
    <w:p w:rsidR="00000000" w:rsidRPr="00EA2C5A" w:rsidP="00EA2C5A">
      <w:pPr>
        <w:pStyle w:val="Heading1"/>
      </w:pPr>
      <w:bookmarkStart w:id="4" w:name="O_1138135"/>
      <w:bookmarkEnd w:id="4"/>
      <w:r w:rsidRPr="00EA2C5A">
        <w:t>Assessment Conditions</w:t>
      </w:r>
    </w:p>
    <w:p w:rsidR="00000000" w:rsidRPr="00EA2C5A" w:rsidP="001368EF">
      <w:pPr>
        <w:pStyle w:val="BodyText"/>
      </w:pPr>
      <w:r w:rsidRPr="00EA2C5A">
        <w:t>Assessors must meet the requirements for assessors contained in the Standards for Registered Training Organi</w:t>
      </w:r>
      <w:r w:rsidRPr="00EA2C5A">
        <w:t>sations. Competency is to be assessed in the workplace or a simulated environment that accurately reflects performance in a real workplace setting where these skills and knowledge would be performed. This includes access to:</w:t>
      </w:r>
    </w:p>
    <w:p w:rsidR="00000000" w:rsidRPr="00EA2C5A" w:rsidP="00EA2C5A">
      <w:pPr>
        <w:pStyle w:val="ListBullet"/>
      </w:pPr>
      <w:r w:rsidRPr="00EA2C5A">
        <w:t>computer with internet access and word processing software</w:t>
      </w:r>
    </w:p>
    <w:p w:rsidR="00000000" w:rsidRPr="00EA2C5A" w:rsidP="00EA2C5A">
      <w:pPr>
        <w:pStyle w:val="ListBullet"/>
      </w:pPr>
      <w:r w:rsidRPr="00EA2C5A">
        <w:t xml:space="preserve">relevant legislation, regulations, codes and standards </w:t>
      </w:r>
    </w:p>
    <w:p w:rsidR="00000000" w:rsidRPr="00EA2C5A" w:rsidP="00EA2C5A">
      <w:pPr>
        <w:pStyle w:val="ListBullet"/>
      </w:pPr>
      <w:r w:rsidRPr="00EA2C5A">
        <w:t>technical references with current and relevant information on design of buildings of Type A construction.</w:t>
      </w:r>
    </w:p>
    <w:p w:rsidR="00000000" w:rsidRPr="00EA2C5A" w:rsidP="00EA2C5A">
      <w:pPr>
        <w:pStyle w:val="AllowPageBreak"/>
      </w:pPr>
    </w:p>
    <w:p w:rsidR="00000000" w:rsidRPr="00EA2C5A" w:rsidP="00EA2C5A">
      <w:pPr>
        <w:pStyle w:val="Heading1"/>
      </w:pPr>
      <w:bookmarkStart w:id="5" w:name="O_1138133"/>
      <w:bookmarkEnd w:id="5"/>
      <w:r w:rsidRPr="00EA2C5A">
        <w:t>Links</w:t>
      </w:r>
    </w:p>
    <w:p w:rsidR="00000000" w:rsidRPr="00EA2C5A" w:rsidP="001368EF">
      <w:pPr>
        <w:pStyle w:val="BodyText"/>
      </w:pPr>
      <w:r w:rsidRPr="00EA2C5A">
        <w:t xml:space="preserve">Companion </w:t>
      </w:r>
      <w:r w:rsidRPr="00EA2C5A">
        <w:t xml:space="preserve">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E3C4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A2C5A" w:rsidP="00EA2C5A"/>
    <w:sectPr w:rsidSect="00EA2C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5A" w:rsidRPr="001368EF" w:rsidP="00136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EF" w:rsidP="00EA2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68EF" w:rsidP="00EA2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368EF" w:rsidP="00EA2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C5A" w:rsidRPr="001368EF" w:rsidP="00136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EF" w:rsidRPr="002D2AF8" w:rsidP="00EA2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CPPBDN8104 Manage the design of large and complex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368EF" w:rsidP="00EA2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482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8C4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248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C5A"/>
  </w:style>
  <w:style w:type="character" w:customStyle="1" w:styleId="Heading1Char">
    <w:name w:val="Heading 1 Char"/>
    <w:basedOn w:val="DefaultParagraphFont"/>
    <w:link w:val="Heading1"/>
    <w:rsid w:val="00EA2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C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C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2C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2C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2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C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C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2C5A"/>
    <w:rPr>
      <w:b/>
      <w:spacing w:val="0"/>
    </w:rPr>
  </w:style>
  <w:style w:type="paragraph" w:customStyle="1" w:styleId="SuperTitle">
    <w:name w:val="SuperTitle"/>
    <w:basedOn w:val="Title"/>
    <w:rsid w:val="00EA2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C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C5A"/>
    <w:rPr>
      <w:i/>
    </w:rPr>
  </w:style>
  <w:style w:type="paragraph" w:styleId="Caption">
    <w:name w:val="caption"/>
    <w:basedOn w:val="BodyText"/>
    <w:next w:val="Normal"/>
    <w:qFormat/>
    <w:rsid w:val="00EA2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C5A"/>
  </w:style>
  <w:style w:type="paragraph" w:styleId="TableofFigures">
    <w:name w:val="table of figures"/>
    <w:basedOn w:val="Normal"/>
    <w:next w:val="Normal"/>
    <w:semiHidden/>
    <w:rsid w:val="00EA2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C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2C5A"/>
    <w:rPr>
      <w:rFonts w:ascii="Wingdings" w:hAnsi="Wingdings"/>
    </w:rPr>
  </w:style>
  <w:style w:type="paragraph" w:customStyle="1" w:styleId="TableHeading">
    <w:name w:val="Table Heading"/>
    <w:basedOn w:val="HeadingBase"/>
    <w:rsid w:val="00EA2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C5A"/>
    <w:rPr>
      <w:color w:val="0033CC"/>
      <w:u w:val="none"/>
    </w:rPr>
  </w:style>
  <w:style w:type="paragraph" w:customStyle="1" w:styleId="BodyTextRight">
    <w:name w:val="Body Text Right"/>
    <w:basedOn w:val="BodyText"/>
    <w:rsid w:val="00EA2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C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C5A"/>
    <w:rPr>
      <w:sz w:val="32"/>
    </w:rPr>
  </w:style>
  <w:style w:type="paragraph" w:customStyle="1" w:styleId="HeadingProcedure">
    <w:name w:val="Heading Procedure"/>
    <w:basedOn w:val="HeadingBase"/>
    <w:next w:val="Normal"/>
    <w:rsid w:val="00EA2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C5A"/>
    <w:pPr>
      <w:spacing w:before="60" w:after="60"/>
    </w:pPr>
  </w:style>
  <w:style w:type="paragraph" w:styleId="ListContinue">
    <w:name w:val="List Continue"/>
    <w:basedOn w:val="List"/>
    <w:rsid w:val="00EA2C5A"/>
    <w:pPr>
      <w:ind w:firstLine="0"/>
    </w:pPr>
  </w:style>
  <w:style w:type="paragraph" w:customStyle="1" w:styleId="ListNote">
    <w:name w:val="List Note"/>
    <w:basedOn w:val="List"/>
    <w:rsid w:val="00EA2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C5A"/>
    <w:rPr>
      <w:rFonts w:ascii="Courier New" w:hAnsi="Courier New"/>
    </w:rPr>
  </w:style>
  <w:style w:type="paragraph" w:customStyle="1" w:styleId="NoteBullet">
    <w:name w:val="Note Bullet"/>
    <w:basedOn w:val="Note"/>
    <w:rsid w:val="00EA2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C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2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C5A"/>
    <w:rPr>
      <w:b/>
      <w:smallCaps/>
    </w:rPr>
  </w:style>
  <w:style w:type="paragraph" w:customStyle="1" w:styleId="TableListNumber">
    <w:name w:val="Table List Number"/>
    <w:basedOn w:val="ListNumber"/>
    <w:rsid w:val="00EA2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C5A"/>
    <w:pPr>
      <w:numPr>
        <w:numId w:val="10"/>
      </w:numPr>
    </w:pPr>
  </w:style>
  <w:style w:type="paragraph" w:customStyle="1" w:styleId="ListAlpha2">
    <w:name w:val="List Alpha 2"/>
    <w:basedOn w:val="List2"/>
    <w:rsid w:val="00EA2C5A"/>
    <w:pPr>
      <w:numPr>
        <w:numId w:val="9"/>
      </w:numPr>
    </w:pPr>
  </w:style>
  <w:style w:type="paragraph" w:styleId="List2">
    <w:name w:val="List 2"/>
    <w:basedOn w:val="BodyText"/>
    <w:rsid w:val="00EA2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C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2C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2C5A"/>
    <w:pPr>
      <w:numPr>
        <w:numId w:val="5"/>
      </w:numPr>
    </w:pPr>
  </w:style>
  <w:style w:type="paragraph" w:styleId="ListContinue2">
    <w:name w:val="List Continue 2"/>
    <w:basedOn w:val="List2"/>
    <w:rsid w:val="00EA2C5A"/>
    <w:pPr>
      <w:ind w:firstLine="0"/>
    </w:pPr>
  </w:style>
  <w:style w:type="paragraph" w:styleId="ListContinue3">
    <w:name w:val="List Continue 3"/>
    <w:basedOn w:val="List3"/>
    <w:rsid w:val="00EA2C5A"/>
    <w:pPr>
      <w:ind w:left="1021" w:firstLine="0"/>
    </w:pPr>
  </w:style>
  <w:style w:type="paragraph" w:styleId="ListContinue4">
    <w:name w:val="List Continue 4"/>
    <w:basedOn w:val="List4"/>
    <w:rsid w:val="00EA2C5A"/>
    <w:pPr>
      <w:ind w:firstLine="0"/>
    </w:pPr>
  </w:style>
  <w:style w:type="paragraph" w:styleId="ListContinue5">
    <w:name w:val="List Continue 5"/>
    <w:basedOn w:val="List5"/>
    <w:rsid w:val="00EA2C5A"/>
    <w:pPr>
      <w:ind w:firstLine="0"/>
    </w:pPr>
  </w:style>
  <w:style w:type="paragraph" w:styleId="ListNumber3">
    <w:name w:val="List Number 3"/>
    <w:basedOn w:val="List3"/>
    <w:rsid w:val="00EA2C5A"/>
    <w:pPr>
      <w:numPr>
        <w:numId w:val="6"/>
      </w:numPr>
    </w:pPr>
  </w:style>
  <w:style w:type="paragraph" w:styleId="ListNumber4">
    <w:name w:val="List Number 4"/>
    <w:basedOn w:val="List4"/>
    <w:rsid w:val="00EA2C5A"/>
    <w:pPr>
      <w:numPr>
        <w:numId w:val="7"/>
      </w:numPr>
    </w:pPr>
  </w:style>
  <w:style w:type="paragraph" w:styleId="ListNumber5">
    <w:name w:val="List Number 5"/>
    <w:basedOn w:val="List5"/>
    <w:rsid w:val="00EA2C5A"/>
    <w:pPr>
      <w:numPr>
        <w:numId w:val="8"/>
      </w:numPr>
    </w:pPr>
  </w:style>
  <w:style w:type="paragraph" w:styleId="BlockText">
    <w:name w:val="Block Text"/>
    <w:basedOn w:val="Normal"/>
    <w:rsid w:val="00EA2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C5A"/>
    <w:rPr>
      <w:sz w:val="16"/>
      <w:vertAlign w:val="superscript"/>
    </w:rPr>
  </w:style>
  <w:style w:type="character" w:customStyle="1" w:styleId="Symbols">
    <w:name w:val="Symbols"/>
    <w:basedOn w:val="DefaultParagraphFont"/>
    <w:rsid w:val="00EA2C5A"/>
    <w:rPr>
      <w:rFonts w:ascii="Symbol" w:hAnsi="Symbol"/>
    </w:rPr>
  </w:style>
  <w:style w:type="character" w:customStyle="1" w:styleId="MenuOptions">
    <w:name w:val="Menu Options"/>
    <w:basedOn w:val="DefaultParagraphFont"/>
    <w:rsid w:val="00EA2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C5A"/>
    <w:rPr>
      <w:b/>
    </w:rPr>
  </w:style>
  <w:style w:type="character" w:customStyle="1" w:styleId="Underlined">
    <w:name w:val="Underlined"/>
    <w:basedOn w:val="DefaultParagraphFont"/>
    <w:rsid w:val="00EA2C5A"/>
    <w:rPr>
      <w:u w:val="single"/>
    </w:rPr>
  </w:style>
  <w:style w:type="paragraph" w:customStyle="1" w:styleId="TableBodyTextRight">
    <w:name w:val="Table Body Text Right"/>
    <w:basedOn w:val="TableBodyText"/>
    <w:rsid w:val="00EA2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C5A"/>
    <w:rPr>
      <w:sz w:val="18"/>
    </w:rPr>
  </w:style>
  <w:style w:type="paragraph" w:customStyle="1" w:styleId="BodySmallRight">
    <w:name w:val="Body Small Right"/>
    <w:basedOn w:val="BodyTextRight"/>
    <w:rsid w:val="00EA2C5A"/>
    <w:rPr>
      <w:sz w:val="18"/>
      <w:szCs w:val="18"/>
    </w:rPr>
  </w:style>
  <w:style w:type="paragraph" w:customStyle="1" w:styleId="MarginEdition">
    <w:name w:val="Margin Edition"/>
    <w:basedOn w:val="MarginNote"/>
    <w:rsid w:val="00EA2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C5A"/>
    <w:rPr>
      <w:sz w:val="2"/>
      <w:szCs w:val="2"/>
    </w:rPr>
  </w:style>
  <w:style w:type="character" w:customStyle="1" w:styleId="Small">
    <w:name w:val="Small"/>
    <w:basedOn w:val="DefaultParagraphFont"/>
    <w:rsid w:val="00EA2C5A"/>
    <w:rPr>
      <w:sz w:val="16"/>
    </w:rPr>
  </w:style>
  <w:style w:type="paragraph" w:customStyle="1" w:styleId="WideTable">
    <w:name w:val="Wide Table"/>
    <w:basedOn w:val="Normal"/>
    <w:rsid w:val="00EA2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C5A"/>
  </w:style>
  <w:style w:type="paragraph" w:styleId="Quote">
    <w:name w:val="Quote"/>
    <w:basedOn w:val="Heading1"/>
    <w:link w:val="QuoteChar"/>
    <w:qFormat/>
    <w:rsid w:val="00EA2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C5A"/>
    <w:pPr>
      <w:pageBreakBefore/>
    </w:pPr>
  </w:style>
  <w:style w:type="paragraph" w:customStyle="1" w:styleId="Border">
    <w:name w:val="Border"/>
    <w:basedOn w:val="Normal"/>
    <w:qFormat/>
    <w:rsid w:val="00EA2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C5A"/>
    <w:rPr>
      <w:u w:val="single"/>
    </w:rPr>
  </w:style>
  <w:style w:type="character" w:customStyle="1" w:styleId="BoldandItalics">
    <w:name w:val="Bold and Italics"/>
    <w:qFormat/>
    <w:rsid w:val="00EA2C5A"/>
    <w:rPr>
      <w:b/>
      <w:i/>
      <w:u w:val="none"/>
    </w:rPr>
  </w:style>
  <w:style w:type="paragraph" w:styleId="BalloonText">
    <w:name w:val="Balloon Text"/>
    <w:basedOn w:val="Normal"/>
    <w:link w:val="BalloonTextChar"/>
    <w:rsid w:val="00EA2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C5A"/>
    <w:pPr>
      <w:spacing w:before="0" w:after="0"/>
    </w:pPr>
  </w:style>
  <w:style w:type="paragraph" w:customStyle="1" w:styleId="BodyTextBold">
    <w:name w:val="Body Text Bold"/>
    <w:basedOn w:val="BodyText"/>
    <w:qFormat/>
    <w:rsid w:val="00EA2C5A"/>
    <w:rPr>
      <w:b/>
    </w:rPr>
  </w:style>
  <w:style w:type="character" w:styleId="Hyperlink">
    <w:name w:val="Hyperlink"/>
    <w:basedOn w:val="DefaultParagraphFont"/>
    <w:uiPriority w:val="99"/>
    <w:unhideWhenUsed/>
    <w:rsid w:val="00136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2691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CPPBDN8104 Manage the design of large and complex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