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281" w:rsidP="00D94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CPPBDN8103 Scope and initiate large and complex building design projects</w:t>
      </w:r>
      <w:r>
        <w:fldChar w:fldCharType="end"/>
      </w:r>
    </w:p>
    <w:p w:rsidR="00D94281" w:rsidP="00D94281">
      <w:pPr>
        <w:pStyle w:val="Version"/>
        <w:sectPr w:rsidSect="00D84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FA2" w:rsidP="00D84FA2">
      <w:pPr>
        <w:pStyle w:val="SuperHeading"/>
      </w:pPr>
      <w:r w:rsidRPr="00D84FA2">
        <w:t>Assessment Requirements for CPPBDN8103 Scope and initiate large and complex building design projects</w:t>
      </w:r>
    </w:p>
    <w:p w:rsidR="00000000" w:rsidRPr="00D84FA2" w:rsidP="00D84FA2">
      <w:pPr>
        <w:pStyle w:val="Heading1"/>
      </w:pPr>
      <w:bookmarkStart w:id="1" w:name="O_1138117"/>
      <w:bookmarkEnd w:id="1"/>
      <w:r w:rsidRPr="00D84F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84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FA2">
            <w:pPr>
              <w:pStyle w:val="BodyText"/>
              <w:rPr>
                <w:lang w:val="en-NZ"/>
              </w:rPr>
            </w:pPr>
            <w:r w:rsidRPr="00D84FA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FA2" w:rsidP="00D84FA2">
            <w:pPr>
              <w:pStyle w:val="BodyText"/>
            </w:pPr>
            <w:r w:rsidRPr="00D84FA2">
              <w:t>This version first released with CPP Property Services Training Package Release 11.0.</w:t>
            </w:r>
          </w:p>
          <w:p w:rsidR="00000000" w:rsidRPr="00D84FA2" w:rsidP="00D84FA2">
            <w:pPr>
              <w:pStyle w:val="BodyText"/>
            </w:pPr>
            <w:r w:rsidRPr="00D84FA2">
              <w:t>Supersedes and is equivalent to CPPBDN8003A Scope and initiate large and complex building design projects.  Updated to meet the Standards for Training Packages 2012.</w:t>
            </w:r>
          </w:p>
        </w:tc>
      </w:tr>
    </w:tbl>
    <w:p w:rsidR="00000000" w:rsidRPr="00D84FA2" w:rsidP="00D84FA2">
      <w:pPr>
        <w:pStyle w:val="BodyText"/>
      </w:pPr>
    </w:p>
    <w:p w:rsidR="00000000" w:rsidRPr="00D84FA2" w:rsidP="00D84FA2">
      <w:pPr>
        <w:pStyle w:val="AllowPageBreak"/>
      </w:pPr>
    </w:p>
    <w:p w:rsidR="00000000" w:rsidRPr="00D84FA2" w:rsidP="00D84FA2">
      <w:pPr>
        <w:pStyle w:val="Heading1"/>
      </w:pPr>
      <w:bookmarkStart w:id="2" w:name="O_1138120"/>
      <w:bookmarkEnd w:id="2"/>
      <w:r w:rsidRPr="00D84FA2">
        <w:t>Performance Evidence</w:t>
      </w:r>
    </w:p>
    <w:p w:rsidR="00000000" w:rsidRPr="00D84FA2" w:rsidP="00D94281">
      <w:pPr>
        <w:pStyle w:val="BodyText"/>
      </w:pPr>
      <w:r w:rsidRPr="00D84FA2">
        <w:t>To demonstrate competency, a candidate must meet</w:t>
      </w:r>
      <w:r w:rsidRPr="00D84FA2">
        <w:t xml:space="preserve"> the performance criteria of this unit by:</w:t>
      </w:r>
    </w:p>
    <w:p w:rsidR="00000000" w:rsidRPr="00D84FA2" w:rsidP="00D84FA2">
      <w:pPr>
        <w:pStyle w:val="ListBullet"/>
      </w:pPr>
      <w:r w:rsidRPr="00D84FA2">
        <w:t xml:space="preserve">negotiating and finalising design briefs and contracts </w:t>
      </w:r>
    </w:p>
    <w:p w:rsidR="00000000" w:rsidRPr="00D84FA2" w:rsidP="00D84FA2">
      <w:pPr>
        <w:pStyle w:val="ListBullet"/>
      </w:pPr>
      <w:r w:rsidRPr="00D84FA2">
        <w:t xml:space="preserve">assembling a project team </w:t>
      </w:r>
    </w:p>
    <w:p w:rsidR="00000000" w:rsidRPr="00D84FA2" w:rsidP="00D84FA2">
      <w:pPr>
        <w:pStyle w:val="ListBullet"/>
      </w:pPr>
      <w:r w:rsidRPr="00D84FA2">
        <w:t xml:space="preserve">developing project schedule and budget </w:t>
      </w:r>
    </w:p>
    <w:p w:rsidR="00000000" w:rsidRPr="00D84FA2" w:rsidP="00D94281">
      <w:pPr>
        <w:pStyle w:val="BodyText"/>
      </w:pPr>
      <w:r w:rsidRPr="00D84FA2">
        <w:t xml:space="preserve">for one building design project involving Type A construction as defined in the National </w:t>
      </w:r>
      <w:r w:rsidRPr="00D84FA2">
        <w:t>Construction Code (NCC).</w:t>
      </w:r>
    </w:p>
    <w:p w:rsidR="00000000" w:rsidRPr="00D84FA2" w:rsidP="00D84FA2">
      <w:pPr>
        <w:pStyle w:val="Heading1"/>
      </w:pPr>
      <w:bookmarkStart w:id="3" w:name="O_1138119"/>
      <w:bookmarkEnd w:id="3"/>
      <w:r w:rsidRPr="00D84FA2">
        <w:t>Knowledge Evidence</w:t>
      </w:r>
    </w:p>
    <w:p w:rsidR="00000000" w:rsidRPr="00D84FA2" w:rsidP="00D94281">
      <w:pPr>
        <w:pStyle w:val="BodyText"/>
      </w:pPr>
      <w:r w:rsidRPr="00D84FA2">
        <w:t>To be competent in this unit, a candidate must demonstrate knowledge of:</w:t>
      </w:r>
    </w:p>
    <w:p w:rsidR="00000000" w:rsidRPr="00D84FA2" w:rsidP="00D84FA2">
      <w:pPr>
        <w:pStyle w:val="ListBullet"/>
      </w:pPr>
      <w:r w:rsidRPr="00D84FA2">
        <w:t>relevant local, state/territory and national legislative, industry and workplace requirements:</w:t>
      </w:r>
    </w:p>
    <w:p w:rsidR="00000000" w:rsidRPr="00D84FA2" w:rsidP="00D84FA2">
      <w:pPr>
        <w:pStyle w:val="ListBullet2"/>
      </w:pPr>
      <w:r w:rsidRPr="00D84FA2">
        <w:t xml:space="preserve">work health and safety (WHS) </w:t>
      </w:r>
    </w:p>
    <w:p w:rsidR="00000000" w:rsidRPr="00D84FA2" w:rsidP="00D84FA2">
      <w:pPr>
        <w:pStyle w:val="ListBullet2"/>
      </w:pPr>
      <w:r w:rsidRPr="00D84FA2">
        <w:t>construction materials and methods</w:t>
      </w:r>
    </w:p>
    <w:p w:rsidR="00000000" w:rsidRPr="00D84FA2" w:rsidP="00D84FA2">
      <w:pPr>
        <w:pStyle w:val="ListBullet2"/>
      </w:pPr>
      <w:r w:rsidRPr="00D84FA2">
        <w:t xml:space="preserve">contractual requirements and business implications </w:t>
      </w:r>
    </w:p>
    <w:p w:rsidR="00000000" w:rsidRPr="00D84FA2" w:rsidP="00D84FA2">
      <w:pPr>
        <w:pStyle w:val="ListBullet"/>
      </w:pPr>
      <w:r w:rsidRPr="00D84FA2">
        <w:t>key components and process for business costings:</w:t>
      </w:r>
    </w:p>
    <w:p w:rsidR="00000000" w:rsidRPr="00D84FA2" w:rsidP="00D84FA2">
      <w:pPr>
        <w:pStyle w:val="ListBullet2"/>
      </w:pPr>
      <w:r w:rsidRPr="00D84FA2">
        <w:t>business administration and management costs</w:t>
      </w:r>
    </w:p>
    <w:p w:rsidR="00000000" w:rsidRPr="00D84FA2" w:rsidP="00D84FA2">
      <w:pPr>
        <w:pStyle w:val="ListBullet2"/>
      </w:pPr>
      <w:r w:rsidRPr="00D84FA2">
        <w:t>business insurances and professional indem</w:t>
      </w:r>
      <w:r w:rsidRPr="00D84FA2">
        <w:t>nity insurance</w:t>
      </w:r>
    </w:p>
    <w:p w:rsidR="00000000" w:rsidRPr="00D84FA2" w:rsidP="00D84FA2">
      <w:pPr>
        <w:pStyle w:val="ListBullet2"/>
      </w:pPr>
      <w:r w:rsidRPr="00D84FA2">
        <w:t>professional fees to lawyers and accountants</w:t>
      </w:r>
    </w:p>
    <w:p w:rsidR="00000000" w:rsidRPr="00D84FA2" w:rsidP="00D84FA2">
      <w:pPr>
        <w:pStyle w:val="ListBullet2"/>
      </w:pPr>
      <w:r w:rsidRPr="00D84FA2">
        <w:t>staff salaries and on-costs</w:t>
      </w:r>
    </w:p>
    <w:p w:rsidR="00000000" w:rsidRPr="00D84FA2" w:rsidP="00D84FA2">
      <w:pPr>
        <w:pStyle w:val="ListBullet2"/>
      </w:pPr>
      <w:r w:rsidRPr="00D84FA2">
        <w:t>subcontractor costs</w:t>
      </w:r>
    </w:p>
    <w:p w:rsidR="00000000" w:rsidRPr="00D84FA2" w:rsidP="00D84FA2">
      <w:pPr>
        <w:pStyle w:val="ListBullet2"/>
      </w:pPr>
      <w:r w:rsidRPr="00D84FA2">
        <w:t>technology costs</w:t>
      </w:r>
    </w:p>
    <w:p w:rsidR="00000000" w:rsidRPr="00D84FA2" w:rsidP="00D84FA2">
      <w:pPr>
        <w:pStyle w:val="ListBullet2"/>
      </w:pPr>
      <w:r w:rsidRPr="00D84FA2">
        <w:t>workplace resource requirements to undertake large and complex projects</w:t>
      </w:r>
    </w:p>
    <w:p w:rsidR="00000000" w:rsidRPr="00D84FA2" w:rsidP="00D84FA2">
      <w:pPr>
        <w:pStyle w:val="ListBullet2"/>
      </w:pPr>
      <w:r w:rsidRPr="00D84FA2">
        <w:t>risk management processes</w:t>
      </w:r>
    </w:p>
    <w:p w:rsidR="00000000" w:rsidRPr="00D84FA2" w:rsidP="00D84FA2">
      <w:pPr>
        <w:pStyle w:val="ListBullet"/>
      </w:pPr>
      <w:r w:rsidRPr="00D84FA2">
        <w:t>planning requirements, schemes and processes</w:t>
      </w:r>
    </w:p>
    <w:p w:rsidR="00000000" w:rsidRPr="00D84FA2" w:rsidP="00D84FA2">
      <w:pPr>
        <w:pStyle w:val="ListBullet"/>
      </w:pPr>
      <w:r w:rsidRPr="00D84FA2">
        <w:t>compliance relating to construction Type A building design projects:</w:t>
      </w:r>
    </w:p>
    <w:p w:rsidR="00000000" w:rsidRPr="00D84FA2" w:rsidP="00D84FA2">
      <w:pPr>
        <w:pStyle w:val="ListBullet"/>
      </w:pPr>
      <w:r w:rsidRPr="00D84FA2">
        <w:t>Australian Standards</w:t>
      </w:r>
    </w:p>
    <w:p w:rsidR="00000000" w:rsidRPr="00D84FA2" w:rsidP="00D84FA2">
      <w:pPr>
        <w:pStyle w:val="ListBullet2"/>
      </w:pPr>
      <w:r w:rsidRPr="00D84FA2">
        <w:t xml:space="preserve">NCC deemed-to-satisfy (DTS) and alternative solution requirements </w:t>
      </w:r>
    </w:p>
    <w:p w:rsidR="00000000" w:rsidRPr="00D84FA2" w:rsidP="00D84FA2">
      <w:pPr>
        <w:pStyle w:val="ListBullet2"/>
      </w:pPr>
      <w:r w:rsidRPr="00D84FA2">
        <w:t>local, state and national codes and standards</w:t>
      </w:r>
    </w:p>
    <w:p w:rsidR="00000000" w:rsidRPr="00D84FA2" w:rsidP="00D84FA2">
      <w:pPr>
        <w:pStyle w:val="ListBullet2"/>
      </w:pPr>
      <w:r w:rsidRPr="00D84FA2">
        <w:t>sources</w:t>
      </w:r>
      <w:r w:rsidRPr="00D84FA2">
        <w:t xml:space="preserve"> of reliable information on compliance requirements</w:t>
      </w:r>
    </w:p>
    <w:p w:rsidR="00000000" w:rsidRPr="00D84FA2" w:rsidP="00D84FA2">
      <w:pPr>
        <w:pStyle w:val="ListBullet"/>
      </w:pPr>
      <w:r w:rsidRPr="00D84FA2">
        <w:t>constraints and potential risks associated with large and complex building design projects:</w:t>
      </w:r>
    </w:p>
    <w:p w:rsidR="00000000" w:rsidRPr="00D84FA2" w:rsidP="00D84FA2">
      <w:pPr>
        <w:pStyle w:val="ListBullet2"/>
      </w:pPr>
      <w:r w:rsidRPr="00D84FA2">
        <w:t>difficulties associated with the nature or complexity of the project itself</w:t>
      </w:r>
    </w:p>
    <w:p w:rsidR="00000000" w:rsidRPr="00D84FA2" w:rsidP="00D84FA2">
      <w:pPr>
        <w:pStyle w:val="ListBullet2"/>
      </w:pPr>
      <w:r w:rsidRPr="00D84FA2">
        <w:t>reliance on gaining input from ext</w:t>
      </w:r>
      <w:r w:rsidRPr="00D84FA2">
        <w:t>ernal professionals in a timely manner</w:t>
      </w:r>
    </w:p>
    <w:p w:rsidR="00000000" w:rsidRPr="00D84FA2" w:rsidP="00D84FA2">
      <w:pPr>
        <w:pStyle w:val="ListBullet2"/>
      </w:pPr>
      <w:r w:rsidRPr="00D84FA2">
        <w:t>operation within a complex and rigid regulatory and compliance system</w:t>
      </w:r>
    </w:p>
    <w:p w:rsidR="00000000" w:rsidRPr="00D84FA2" w:rsidP="00D84FA2">
      <w:pPr>
        <w:pStyle w:val="ListBullet2"/>
      </w:pPr>
      <w:r w:rsidRPr="00D84FA2">
        <w:t>time delays due to the planning process.</w:t>
      </w:r>
    </w:p>
    <w:p w:rsidR="00000000" w:rsidRPr="00D84FA2" w:rsidP="00D84FA2">
      <w:pPr>
        <w:pStyle w:val="AllowPageBreak"/>
      </w:pPr>
    </w:p>
    <w:p w:rsidR="00000000" w:rsidRPr="00D84FA2" w:rsidP="00D84FA2">
      <w:pPr>
        <w:pStyle w:val="Heading1"/>
      </w:pPr>
      <w:bookmarkStart w:id="4" w:name="O_1138118"/>
      <w:bookmarkEnd w:id="4"/>
      <w:r w:rsidRPr="00D84FA2">
        <w:t>Assessment Conditions</w:t>
      </w:r>
    </w:p>
    <w:p w:rsidR="00000000" w:rsidRPr="00D84FA2" w:rsidP="00D94281">
      <w:pPr>
        <w:pStyle w:val="BodyText"/>
      </w:pPr>
      <w:r w:rsidRPr="00D84FA2">
        <w:t>Assessors must meet the requirements for assessors contained in t</w:t>
      </w:r>
      <w:r w:rsidRPr="00D84FA2">
        <w:t>he Standards for Registered Training Organisations. Competency is to be assessed in the workplace or a simulated environment that accurately reflects performance in a real workplace setting where these skills and knowledge would be performed. This includes</w:t>
      </w:r>
      <w:r w:rsidRPr="00D84FA2">
        <w:t xml:space="preserve"> access to:</w:t>
      </w:r>
    </w:p>
    <w:p w:rsidR="00000000" w:rsidRPr="00D84FA2" w:rsidP="00D84FA2">
      <w:pPr>
        <w:pStyle w:val="ListBullet"/>
      </w:pPr>
      <w:r w:rsidRPr="00D84FA2">
        <w:t>computer with internet access and word processing software</w:t>
      </w:r>
    </w:p>
    <w:p w:rsidR="00000000" w:rsidRPr="00D84FA2" w:rsidP="00D84FA2">
      <w:pPr>
        <w:pStyle w:val="ListBullet"/>
      </w:pPr>
      <w:r w:rsidRPr="00D84FA2">
        <w:t xml:space="preserve">relevant legislation, regulations, codes and standards </w:t>
      </w:r>
    </w:p>
    <w:p w:rsidR="00000000" w:rsidRPr="00D84FA2" w:rsidP="00D84FA2">
      <w:pPr>
        <w:pStyle w:val="ListBullet"/>
      </w:pPr>
      <w:r w:rsidRPr="00D84FA2">
        <w:t>technical references with current and relevant information on building design.</w:t>
      </w:r>
    </w:p>
    <w:p w:rsidR="00000000" w:rsidRPr="00D84FA2" w:rsidP="00D84FA2">
      <w:pPr>
        <w:pStyle w:val="AllowPageBreak"/>
      </w:pPr>
    </w:p>
    <w:p w:rsidR="00000000" w:rsidRPr="00D84FA2" w:rsidP="00D84FA2">
      <w:pPr>
        <w:pStyle w:val="Heading1"/>
      </w:pPr>
      <w:bookmarkStart w:id="5" w:name="O_1138116"/>
      <w:bookmarkEnd w:id="5"/>
      <w:r w:rsidRPr="00D84FA2">
        <w:t>Links</w:t>
      </w:r>
    </w:p>
    <w:p w:rsidR="00000000" w:rsidRPr="00D84FA2" w:rsidP="00D94281">
      <w:pPr>
        <w:pStyle w:val="BodyText"/>
      </w:pPr>
      <w:r w:rsidRPr="00D84FA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340A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84FA2" w:rsidP="00D84FA2"/>
    <w:sectPr w:rsidSect="00D84F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FA2" w:rsidRPr="00D94281" w:rsidP="00D94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81" w:rsidP="00D84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4281" w:rsidP="00D84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94281" w:rsidP="00D84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FA2" w:rsidRPr="00D94281" w:rsidP="00D94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81" w:rsidRPr="002D2AF8" w:rsidP="00D84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CPPBDN8103 Scope and initiate large and complex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94281" w:rsidP="00D84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5ADF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868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7CC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FA2"/>
  </w:style>
  <w:style w:type="character" w:customStyle="1" w:styleId="Heading1Char">
    <w:name w:val="Heading 1 Char"/>
    <w:basedOn w:val="DefaultParagraphFont"/>
    <w:link w:val="Heading1"/>
    <w:rsid w:val="00D84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F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F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F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F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FA2"/>
    <w:rPr>
      <w:b/>
      <w:spacing w:val="0"/>
    </w:rPr>
  </w:style>
  <w:style w:type="paragraph" w:customStyle="1" w:styleId="SuperTitle">
    <w:name w:val="SuperTitle"/>
    <w:basedOn w:val="Title"/>
    <w:rsid w:val="00D84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F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FA2"/>
    <w:rPr>
      <w:i/>
    </w:rPr>
  </w:style>
  <w:style w:type="paragraph" w:styleId="Caption">
    <w:name w:val="caption"/>
    <w:basedOn w:val="BodyText"/>
    <w:next w:val="Normal"/>
    <w:qFormat/>
    <w:rsid w:val="00D84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FA2"/>
  </w:style>
  <w:style w:type="paragraph" w:styleId="TableofFigures">
    <w:name w:val="table of figures"/>
    <w:basedOn w:val="Normal"/>
    <w:next w:val="Normal"/>
    <w:semiHidden/>
    <w:rsid w:val="00D84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F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FA2"/>
    <w:rPr>
      <w:rFonts w:ascii="Wingdings" w:hAnsi="Wingdings"/>
    </w:rPr>
  </w:style>
  <w:style w:type="paragraph" w:customStyle="1" w:styleId="TableHeading">
    <w:name w:val="Table Heading"/>
    <w:basedOn w:val="HeadingBase"/>
    <w:rsid w:val="00D84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FA2"/>
    <w:rPr>
      <w:color w:val="0033CC"/>
      <w:u w:val="none"/>
    </w:rPr>
  </w:style>
  <w:style w:type="paragraph" w:customStyle="1" w:styleId="BodyTextRight">
    <w:name w:val="Body Text Right"/>
    <w:basedOn w:val="BodyText"/>
    <w:rsid w:val="00D84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F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FA2"/>
    <w:rPr>
      <w:sz w:val="32"/>
    </w:rPr>
  </w:style>
  <w:style w:type="paragraph" w:customStyle="1" w:styleId="HeadingProcedure">
    <w:name w:val="Heading Procedure"/>
    <w:basedOn w:val="HeadingBase"/>
    <w:next w:val="Normal"/>
    <w:rsid w:val="00D84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FA2"/>
    <w:pPr>
      <w:spacing w:before="60" w:after="60"/>
    </w:pPr>
  </w:style>
  <w:style w:type="paragraph" w:styleId="ListContinue">
    <w:name w:val="List Continue"/>
    <w:basedOn w:val="List"/>
    <w:rsid w:val="00D84FA2"/>
    <w:pPr>
      <w:ind w:firstLine="0"/>
    </w:pPr>
  </w:style>
  <w:style w:type="paragraph" w:customStyle="1" w:styleId="ListNote">
    <w:name w:val="List Note"/>
    <w:basedOn w:val="List"/>
    <w:rsid w:val="00D84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FA2"/>
    <w:rPr>
      <w:rFonts w:ascii="Courier New" w:hAnsi="Courier New"/>
    </w:rPr>
  </w:style>
  <w:style w:type="paragraph" w:customStyle="1" w:styleId="NoteBullet">
    <w:name w:val="Note Bullet"/>
    <w:basedOn w:val="Note"/>
    <w:rsid w:val="00D84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F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FA2"/>
    <w:rPr>
      <w:b/>
      <w:smallCaps/>
    </w:rPr>
  </w:style>
  <w:style w:type="paragraph" w:customStyle="1" w:styleId="TableListNumber">
    <w:name w:val="Table List Number"/>
    <w:basedOn w:val="ListNumber"/>
    <w:rsid w:val="00D84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FA2"/>
    <w:pPr>
      <w:numPr>
        <w:numId w:val="9"/>
      </w:numPr>
    </w:pPr>
  </w:style>
  <w:style w:type="paragraph" w:customStyle="1" w:styleId="ListAlpha2">
    <w:name w:val="List Alpha 2"/>
    <w:basedOn w:val="List2"/>
    <w:rsid w:val="00D84FA2"/>
    <w:pPr>
      <w:numPr>
        <w:numId w:val="8"/>
      </w:numPr>
    </w:pPr>
  </w:style>
  <w:style w:type="paragraph" w:styleId="List2">
    <w:name w:val="List 2"/>
    <w:basedOn w:val="BodyText"/>
    <w:rsid w:val="00D84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F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F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FA2"/>
    <w:pPr>
      <w:numPr>
        <w:numId w:val="4"/>
      </w:numPr>
    </w:pPr>
  </w:style>
  <w:style w:type="paragraph" w:styleId="ListContinue2">
    <w:name w:val="List Continue 2"/>
    <w:basedOn w:val="List2"/>
    <w:rsid w:val="00D84FA2"/>
    <w:pPr>
      <w:ind w:firstLine="0"/>
    </w:pPr>
  </w:style>
  <w:style w:type="paragraph" w:styleId="ListContinue3">
    <w:name w:val="List Continue 3"/>
    <w:basedOn w:val="List3"/>
    <w:rsid w:val="00D84FA2"/>
    <w:pPr>
      <w:ind w:left="1021" w:firstLine="0"/>
    </w:pPr>
  </w:style>
  <w:style w:type="paragraph" w:styleId="ListContinue4">
    <w:name w:val="List Continue 4"/>
    <w:basedOn w:val="List4"/>
    <w:rsid w:val="00D84FA2"/>
    <w:pPr>
      <w:ind w:firstLine="0"/>
    </w:pPr>
  </w:style>
  <w:style w:type="paragraph" w:styleId="ListContinue5">
    <w:name w:val="List Continue 5"/>
    <w:basedOn w:val="List5"/>
    <w:rsid w:val="00D84FA2"/>
    <w:pPr>
      <w:ind w:firstLine="0"/>
    </w:pPr>
  </w:style>
  <w:style w:type="paragraph" w:styleId="ListNumber3">
    <w:name w:val="List Number 3"/>
    <w:basedOn w:val="List3"/>
    <w:rsid w:val="00D84FA2"/>
    <w:pPr>
      <w:numPr>
        <w:numId w:val="5"/>
      </w:numPr>
    </w:pPr>
  </w:style>
  <w:style w:type="paragraph" w:styleId="ListNumber4">
    <w:name w:val="List Number 4"/>
    <w:basedOn w:val="List4"/>
    <w:rsid w:val="00D84FA2"/>
    <w:pPr>
      <w:numPr>
        <w:numId w:val="6"/>
      </w:numPr>
    </w:pPr>
  </w:style>
  <w:style w:type="paragraph" w:styleId="ListNumber5">
    <w:name w:val="List Number 5"/>
    <w:basedOn w:val="List5"/>
    <w:rsid w:val="00D84FA2"/>
    <w:pPr>
      <w:numPr>
        <w:numId w:val="7"/>
      </w:numPr>
    </w:pPr>
  </w:style>
  <w:style w:type="paragraph" w:styleId="BlockText">
    <w:name w:val="Block Text"/>
    <w:basedOn w:val="Normal"/>
    <w:rsid w:val="00D84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FA2"/>
    <w:rPr>
      <w:sz w:val="16"/>
      <w:vertAlign w:val="superscript"/>
    </w:rPr>
  </w:style>
  <w:style w:type="character" w:customStyle="1" w:styleId="Symbols">
    <w:name w:val="Symbols"/>
    <w:basedOn w:val="DefaultParagraphFont"/>
    <w:rsid w:val="00D84FA2"/>
    <w:rPr>
      <w:rFonts w:ascii="Symbol" w:hAnsi="Symbol"/>
    </w:rPr>
  </w:style>
  <w:style w:type="character" w:customStyle="1" w:styleId="MenuOptions">
    <w:name w:val="Menu Options"/>
    <w:basedOn w:val="DefaultParagraphFont"/>
    <w:rsid w:val="00D84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FA2"/>
    <w:rPr>
      <w:b/>
    </w:rPr>
  </w:style>
  <w:style w:type="character" w:customStyle="1" w:styleId="Underlined">
    <w:name w:val="Underlined"/>
    <w:basedOn w:val="DefaultParagraphFont"/>
    <w:rsid w:val="00D84FA2"/>
    <w:rPr>
      <w:u w:val="single"/>
    </w:rPr>
  </w:style>
  <w:style w:type="paragraph" w:customStyle="1" w:styleId="TableBodyTextRight">
    <w:name w:val="Table Body Text Right"/>
    <w:basedOn w:val="TableBodyText"/>
    <w:rsid w:val="00D84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FA2"/>
    <w:rPr>
      <w:sz w:val="18"/>
    </w:rPr>
  </w:style>
  <w:style w:type="paragraph" w:customStyle="1" w:styleId="BodySmallRight">
    <w:name w:val="Body Small Right"/>
    <w:basedOn w:val="BodyTextRight"/>
    <w:rsid w:val="00D84FA2"/>
    <w:rPr>
      <w:sz w:val="18"/>
      <w:szCs w:val="18"/>
    </w:rPr>
  </w:style>
  <w:style w:type="paragraph" w:customStyle="1" w:styleId="MarginEdition">
    <w:name w:val="Margin Edition"/>
    <w:basedOn w:val="MarginNote"/>
    <w:rsid w:val="00D84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FA2"/>
    <w:rPr>
      <w:sz w:val="2"/>
      <w:szCs w:val="2"/>
    </w:rPr>
  </w:style>
  <w:style w:type="character" w:customStyle="1" w:styleId="Small">
    <w:name w:val="Small"/>
    <w:basedOn w:val="DefaultParagraphFont"/>
    <w:rsid w:val="00D84FA2"/>
    <w:rPr>
      <w:sz w:val="16"/>
    </w:rPr>
  </w:style>
  <w:style w:type="paragraph" w:customStyle="1" w:styleId="WideTable">
    <w:name w:val="Wide Table"/>
    <w:basedOn w:val="Normal"/>
    <w:rsid w:val="00D84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FA2"/>
  </w:style>
  <w:style w:type="paragraph" w:styleId="Quote">
    <w:name w:val="Quote"/>
    <w:basedOn w:val="Heading1"/>
    <w:link w:val="QuoteChar"/>
    <w:qFormat/>
    <w:rsid w:val="00D84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FA2"/>
    <w:pPr>
      <w:pageBreakBefore/>
    </w:pPr>
  </w:style>
  <w:style w:type="paragraph" w:customStyle="1" w:styleId="Border">
    <w:name w:val="Border"/>
    <w:basedOn w:val="Normal"/>
    <w:qFormat/>
    <w:rsid w:val="00D84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FA2"/>
    <w:rPr>
      <w:u w:val="single"/>
    </w:rPr>
  </w:style>
  <w:style w:type="character" w:customStyle="1" w:styleId="BoldandItalics">
    <w:name w:val="Bold and Italics"/>
    <w:qFormat/>
    <w:rsid w:val="00D84FA2"/>
    <w:rPr>
      <w:b/>
      <w:i/>
      <w:u w:val="none"/>
    </w:rPr>
  </w:style>
  <w:style w:type="paragraph" w:styleId="BalloonText">
    <w:name w:val="Balloon Text"/>
    <w:basedOn w:val="Normal"/>
    <w:link w:val="BalloonTextChar"/>
    <w:rsid w:val="00D84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FA2"/>
    <w:pPr>
      <w:spacing w:before="0" w:after="0"/>
    </w:pPr>
  </w:style>
  <w:style w:type="paragraph" w:customStyle="1" w:styleId="BodyTextBold">
    <w:name w:val="Body Text Bold"/>
    <w:basedOn w:val="BodyText"/>
    <w:qFormat/>
    <w:rsid w:val="00D84FA2"/>
    <w:rPr>
      <w:b/>
    </w:rPr>
  </w:style>
  <w:style w:type="character" w:styleId="Hyperlink">
    <w:name w:val="Hyperlink"/>
    <w:basedOn w:val="DefaultParagraphFont"/>
    <w:uiPriority w:val="99"/>
    <w:unhideWhenUsed/>
    <w:rsid w:val="00D94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2670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CPPBDN8103 Scope and initiate large and complex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2022-12-19T05:59:00Z</dcterms:created>
  <dcterms:modified xsi:type="dcterms:W3CDTF">2022-12-19T05:59:00Z</dcterms:modified>
</cp:coreProperties>
</file>