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2A7" w:rsidP="00772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CPPBDN8102 Advise on compliance requirements for large and complex building design projects</w:t>
      </w:r>
      <w:r>
        <w:fldChar w:fldCharType="end"/>
      </w:r>
    </w:p>
    <w:p w:rsidR="007722A7" w:rsidP="007722A7">
      <w:pPr>
        <w:pStyle w:val="Version"/>
        <w:sectPr w:rsidSect="008A7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EC8" w:rsidP="008A7EC8">
      <w:pPr>
        <w:pStyle w:val="SuperHeading"/>
      </w:pPr>
      <w:r w:rsidRPr="008A7EC8">
        <w:t>CPPBDN8102 Advise on compliance requirements for large and complex building design projects</w:t>
      </w:r>
    </w:p>
    <w:p w:rsidR="00000000" w:rsidRPr="008A7EC8" w:rsidP="008A7EC8">
      <w:pPr>
        <w:pStyle w:val="Heading1"/>
      </w:pPr>
      <w:bookmarkStart w:id="1" w:name="O_1138104"/>
      <w:bookmarkEnd w:id="1"/>
      <w:r w:rsidRPr="008A7E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EC8" w:rsidP="008A7EC8">
            <w:pPr>
              <w:pStyle w:val="BodyText"/>
            </w:pPr>
            <w:r w:rsidRPr="008A7EC8">
              <w:t>This version first released with CPP Property Services Training Package Release 11.0.</w:t>
            </w:r>
          </w:p>
          <w:p w:rsidR="00000000" w:rsidRPr="008A7EC8" w:rsidP="008A7EC8">
            <w:pPr>
              <w:pStyle w:val="BodyText"/>
            </w:pPr>
            <w:r w:rsidRPr="008A7EC8">
              <w:t>Supersedes and is equivalent to CPPBDN8002A Research compliance requirements for complex building design projects.  Updated to meet the Standards for Training Packages 2012.</w:t>
            </w:r>
          </w:p>
        </w:tc>
      </w:tr>
    </w:tbl>
    <w:p w:rsidR="00000000" w:rsidRPr="008A7EC8" w:rsidP="008A7EC8">
      <w:pPr>
        <w:pStyle w:val="BodyText"/>
      </w:pPr>
    </w:p>
    <w:p w:rsidR="00000000" w:rsidRPr="008A7EC8" w:rsidP="008A7EC8">
      <w:pPr>
        <w:pStyle w:val="AllowPageBreak"/>
      </w:pPr>
    </w:p>
    <w:p w:rsidR="00000000" w:rsidRPr="008A7EC8" w:rsidP="008A7EC8">
      <w:pPr>
        <w:pStyle w:val="Heading1"/>
      </w:pPr>
      <w:bookmarkStart w:id="2" w:name="O_1138110"/>
      <w:bookmarkEnd w:id="2"/>
      <w:r w:rsidRPr="008A7EC8">
        <w:t>Application</w:t>
      </w:r>
    </w:p>
    <w:p w:rsidR="00000000" w:rsidRPr="008A7EC8" w:rsidP="007722A7">
      <w:pPr>
        <w:pStyle w:val="BodyText"/>
      </w:pPr>
      <w:r w:rsidRPr="008A7EC8">
        <w:t>This unit specifies the skills and knowledge requ</w:t>
      </w:r>
      <w:r w:rsidRPr="008A7EC8">
        <w:t>ired to advise on compliance requirements that apply to construction Type A, as defined in the National Construction Code (NCC) building design projects in a range of locations. It includes researching and applying local, state/territory and federal legisl</w:t>
      </w:r>
      <w:r w:rsidRPr="008A7EC8">
        <w:t xml:space="preserve">ation, codes and standards to planning, the environment and zoning, and interpreting these requirements in relation to client preferences and prospective design proposals.  </w:t>
      </w:r>
    </w:p>
    <w:p w:rsidR="00000000" w:rsidRPr="008A7EC8" w:rsidP="007722A7">
      <w:pPr>
        <w:pStyle w:val="BodyText"/>
      </w:pPr>
      <w:r w:rsidRPr="008A7EC8">
        <w:t>This unit is suitable for experienced building designers who apply broad and coher</w:t>
      </w:r>
      <w:r w:rsidRPr="008A7EC8">
        <w:t>ent theoretical and technical knowledge and highly specialised skills to manage building design projects with autonomy and judgement and to deal with sometimes complex and unpredictable contingencies.</w:t>
      </w:r>
    </w:p>
    <w:p w:rsidR="00000000" w:rsidRPr="008A7EC8" w:rsidP="007722A7">
      <w:pPr>
        <w:pStyle w:val="BodyText"/>
      </w:pPr>
      <w:r w:rsidRPr="008A7EC8">
        <w:t xml:space="preserve">This unit forms part of the licensing requirements for </w:t>
      </w:r>
      <w:r w:rsidRPr="008A7EC8">
        <w:t>people engaged in building design in some states and territories. For further information, check with the relevant regulatory authority.</w:t>
      </w:r>
    </w:p>
    <w:p w:rsidR="00000000" w:rsidRPr="008A7EC8" w:rsidP="008A7EC8">
      <w:pPr>
        <w:pStyle w:val="Heading1"/>
      </w:pPr>
      <w:bookmarkStart w:id="3" w:name="O_1138109"/>
      <w:bookmarkEnd w:id="3"/>
      <w:r w:rsidRPr="008A7EC8">
        <w:t>Pre-requisite Unit</w:t>
      </w:r>
    </w:p>
    <w:p w:rsidR="00000000" w:rsidRPr="008A7EC8" w:rsidP="007722A7">
      <w:pPr>
        <w:pStyle w:val="BodyText"/>
      </w:pPr>
      <w:r w:rsidRPr="008A7EC8">
        <w:t>Nil.</w:t>
      </w:r>
    </w:p>
    <w:p w:rsidR="00000000" w:rsidRPr="008A7EC8" w:rsidP="008A7EC8">
      <w:pPr>
        <w:pStyle w:val="Heading1"/>
      </w:pPr>
      <w:bookmarkStart w:id="4" w:name="O_1138108"/>
      <w:bookmarkEnd w:id="4"/>
      <w:r w:rsidRPr="008A7EC8">
        <w:t>Unit Sector</w:t>
      </w:r>
    </w:p>
    <w:p w:rsidR="00000000" w:rsidRPr="008A7EC8" w:rsidP="007722A7">
      <w:pPr>
        <w:pStyle w:val="BodyText"/>
      </w:pPr>
      <w:r w:rsidRPr="008A7EC8">
        <w:t>Building Design</w:t>
      </w:r>
    </w:p>
    <w:p w:rsidR="00000000" w:rsidRPr="008A7EC8" w:rsidP="008A7EC8">
      <w:pPr>
        <w:pStyle w:val="Heading1"/>
      </w:pPr>
      <w:bookmarkStart w:id="5" w:name="O_1138107"/>
      <w:bookmarkEnd w:id="5"/>
      <w:r w:rsidRPr="008A7EC8">
        <w:t>Elements a</w:t>
      </w:r>
      <w:r w:rsidRPr="008A7EC8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Performance criteria describe what needs to be done to demonstrate achievement of the element.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Research applicable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 xml:space="preserve">Investigate and confirm legislative compliance of Type A building construction. 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Interpret legislation and note variations affecting compliance of designs for different types of large and complex building projects.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Interpret legislation and note variations in compliance requirements for different project locations and conditions.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Research applicable codes and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Interpret codes and standards and note variations relating to different types of build</w:t>
            </w:r>
            <w:r w:rsidRPr="008A7EC8">
              <w:t>ing design projects for Type A buildings.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Interpret codes and standards and note variations relating to different project locations and conditions.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Analyse impact of alternative solutions on project development.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Assess relative strengths and weaknesses of deemed-to-satisfy (DTS) and alternative solutions according to NCC requirements.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Assess the environmental impact and sustainability of alternative solutions.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 xml:space="preserve">Seek expert opinion regarding compliance requirements of alternative solutions. 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Clarify ambiguous or conflicting compliance requirements with relevant professionals.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Analyse compliance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Identify constraints of compliance requirements on design options.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Identify and communicate to client compliance requirements that affect preferences.</w:t>
            </w:r>
          </w:p>
        </w:tc>
      </w:tr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EC8" w:rsidP="008A7EC8">
            <w:pPr>
              <w:pStyle w:val="BodyText"/>
            </w:pPr>
            <w:r w:rsidRPr="008A7EC8">
              <w:t>Propose and document innovative solutions to meet client and compliance requirements.</w:t>
            </w:r>
          </w:p>
        </w:tc>
      </w:tr>
    </w:tbl>
    <w:p w:rsidR="00000000" w:rsidRPr="008A7EC8" w:rsidP="008A7EC8">
      <w:pPr>
        <w:pStyle w:val="BodyText"/>
      </w:pPr>
    </w:p>
    <w:p w:rsidR="00000000" w:rsidRPr="008A7EC8" w:rsidP="008A7EC8">
      <w:pPr>
        <w:pStyle w:val="AllowPageBreak"/>
      </w:pPr>
    </w:p>
    <w:p w:rsidR="00000000" w:rsidRPr="008A7EC8" w:rsidP="008A7EC8">
      <w:pPr>
        <w:pStyle w:val="Heading1"/>
      </w:pPr>
      <w:bookmarkStart w:id="6" w:name="O_1138106"/>
      <w:bookmarkEnd w:id="6"/>
      <w:r w:rsidRPr="008A7EC8">
        <w:t>Foundation Skills</w:t>
      </w:r>
    </w:p>
    <w:p w:rsidR="00000000" w:rsidRPr="008A7EC8" w:rsidP="007722A7">
      <w:pPr>
        <w:pStyle w:val="BodyText"/>
      </w:pPr>
      <w:r w:rsidRPr="008A7EC8">
        <w:t>As well as the foundation skills explicit in the performance criteria of this unit, candidates require:</w:t>
      </w:r>
    </w:p>
    <w:p w:rsidR="00000000" w:rsidRPr="008A7EC8" w:rsidP="008A7EC8">
      <w:pPr>
        <w:pStyle w:val="ListBullet"/>
      </w:pPr>
      <w:r w:rsidRPr="008A7EC8">
        <w:t>reading skills to interpret and apply complex information in legislation, regulations, codes and standards</w:t>
      </w:r>
    </w:p>
    <w:p w:rsidR="00000000" w:rsidRPr="008A7EC8" w:rsidP="008A7EC8">
      <w:pPr>
        <w:pStyle w:val="ListBullet"/>
      </w:pPr>
      <w:r w:rsidRPr="008A7EC8">
        <w:t>written a</w:t>
      </w:r>
      <w:r w:rsidRPr="008A7EC8">
        <w:t>nd oral skills to communicate appropriately for the audience and situation.</w:t>
      </w:r>
    </w:p>
    <w:p w:rsidR="00000000" w:rsidRPr="008A7EC8" w:rsidP="008A7EC8">
      <w:pPr>
        <w:pStyle w:val="AllowPageBreak"/>
      </w:pPr>
    </w:p>
    <w:p w:rsidR="00000000" w:rsidRPr="008A7EC8" w:rsidP="008A7EC8">
      <w:pPr>
        <w:pStyle w:val="Heading1"/>
      </w:pPr>
      <w:bookmarkStart w:id="7" w:name="O_1138105"/>
      <w:bookmarkEnd w:id="7"/>
      <w:r w:rsidRPr="008A7EC8">
        <w:t>Unit Mapping Information</w:t>
      </w:r>
    </w:p>
    <w:p w:rsidR="00000000" w:rsidRPr="008A7EC8" w:rsidP="007722A7">
      <w:pPr>
        <w:pStyle w:val="BodyText"/>
      </w:pPr>
      <w:r w:rsidRPr="008A7EC8">
        <w:t>Supersedes and is equivalent to CPPBDN8002A Research compliance requirements for complex building design projects.</w:t>
      </w:r>
    </w:p>
    <w:p w:rsidR="00000000" w:rsidRPr="008A7EC8" w:rsidP="008A7EC8">
      <w:pPr>
        <w:pStyle w:val="Heading1"/>
      </w:pPr>
      <w:bookmarkStart w:id="8" w:name="O_1138098"/>
      <w:bookmarkEnd w:id="8"/>
      <w:r w:rsidRPr="008A7EC8">
        <w:t>Li</w:t>
      </w:r>
      <w:r w:rsidRPr="008A7EC8">
        <w:t>nks</w:t>
      </w:r>
    </w:p>
    <w:p w:rsidR="00000000" w:rsidRPr="008A7EC8" w:rsidP="007722A7">
      <w:pPr>
        <w:pStyle w:val="BodyText"/>
      </w:pPr>
      <w:r w:rsidRPr="008A7E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5D2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A7EC8" w:rsidP="007722A7">
      <w:pPr>
        <w:pStyle w:val="BodyText"/>
        <w:sectPr w:rsidSect="008A7E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7EC8" w:rsidP="008A7EC8">
      <w:pPr>
        <w:pStyle w:val="SuperHeading"/>
      </w:pPr>
      <w:r w:rsidRPr="008A7EC8">
        <w:t xml:space="preserve">Assessment </w:t>
      </w:r>
      <w:r w:rsidRPr="008A7EC8">
        <w:t>Requirements for CPPBDN8102 Advise on compliance requirements for large and complex building design projects</w:t>
      </w:r>
    </w:p>
    <w:p w:rsidR="00000000" w:rsidRPr="008A7EC8" w:rsidP="008A7EC8">
      <w:pPr>
        <w:pStyle w:val="Heading1"/>
      </w:pPr>
      <w:bookmarkStart w:id="9" w:name="O_1138100"/>
      <w:bookmarkEnd w:id="9"/>
      <w:r w:rsidRPr="008A7E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A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8">
            <w:pPr>
              <w:pStyle w:val="BodyText"/>
              <w:rPr>
                <w:lang w:val="en-NZ"/>
              </w:rPr>
            </w:pPr>
            <w:r w:rsidRPr="008A7E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EC8" w:rsidP="008A7EC8">
            <w:pPr>
              <w:pStyle w:val="BodyText"/>
            </w:pPr>
            <w:r w:rsidRPr="008A7EC8">
              <w:t>This version first released with CPP Property Services Training Package Release 11.0.</w:t>
            </w:r>
          </w:p>
          <w:p w:rsidR="00000000" w:rsidRPr="008A7EC8" w:rsidP="008A7EC8">
            <w:pPr>
              <w:pStyle w:val="BodyText"/>
            </w:pPr>
            <w:r w:rsidRPr="008A7EC8">
              <w:t>Supersedes a</w:t>
            </w:r>
            <w:r w:rsidRPr="008A7EC8">
              <w:t>nd is equivalent to CPPBDN8002A Research compliance requirements for complex building design projects.  Updated to meet the Standards for Training Packages 2012.</w:t>
            </w:r>
          </w:p>
        </w:tc>
      </w:tr>
    </w:tbl>
    <w:p w:rsidR="00000000" w:rsidRPr="008A7EC8" w:rsidP="008A7EC8">
      <w:pPr>
        <w:pStyle w:val="BodyText"/>
      </w:pPr>
    </w:p>
    <w:p w:rsidR="00000000" w:rsidRPr="008A7EC8" w:rsidP="008A7EC8">
      <w:pPr>
        <w:pStyle w:val="AllowPageBreak"/>
      </w:pPr>
    </w:p>
    <w:p w:rsidR="00000000" w:rsidRPr="008A7EC8" w:rsidP="008A7EC8">
      <w:pPr>
        <w:pStyle w:val="Heading1"/>
      </w:pPr>
      <w:bookmarkStart w:id="10" w:name="O_1138103"/>
      <w:bookmarkEnd w:id="10"/>
      <w:r w:rsidRPr="008A7EC8">
        <w:t>Performance Evidence</w:t>
      </w:r>
    </w:p>
    <w:p w:rsidR="00000000" w:rsidRPr="008A7EC8" w:rsidP="007722A7">
      <w:pPr>
        <w:pStyle w:val="BodyText"/>
      </w:pPr>
      <w:r w:rsidRPr="008A7EC8">
        <w:t>To demonstrate competency, a candidate must meet the</w:t>
      </w:r>
      <w:r w:rsidRPr="008A7EC8">
        <w:t xml:space="preserve"> performance criteria of this unit by advising on compliance with codes, standards and planning requirements for two different construction Type A building projects, as defined in the National Construction Code (NCC). </w:t>
      </w:r>
    </w:p>
    <w:p w:rsidR="00000000" w:rsidRPr="008A7EC8" w:rsidP="008A7EC8">
      <w:pPr>
        <w:pStyle w:val="Heading1"/>
      </w:pPr>
      <w:bookmarkStart w:id="11" w:name="O_1138102"/>
      <w:bookmarkEnd w:id="11"/>
      <w:r w:rsidRPr="008A7EC8">
        <w:t>Knowledge Evidence</w:t>
      </w:r>
    </w:p>
    <w:p w:rsidR="00000000" w:rsidRPr="008A7EC8" w:rsidP="007722A7">
      <w:pPr>
        <w:pStyle w:val="BodyText"/>
      </w:pPr>
      <w:r w:rsidRPr="008A7EC8">
        <w:t>To be competent in this unit, a candidate must demonstrate knowledge of:</w:t>
      </w:r>
    </w:p>
    <w:p w:rsidR="00000000" w:rsidRPr="008A7EC8" w:rsidP="008A7EC8">
      <w:pPr>
        <w:pStyle w:val="ListBullet"/>
      </w:pPr>
      <w:r w:rsidRPr="008A7EC8">
        <w:t>relevant local, state/territory and national legislative, industry and workplace requirements:</w:t>
      </w:r>
    </w:p>
    <w:p w:rsidR="00000000" w:rsidRPr="008A7EC8" w:rsidP="008A7EC8">
      <w:pPr>
        <w:pStyle w:val="ListBullet2"/>
      </w:pPr>
      <w:r w:rsidRPr="008A7EC8">
        <w:t>work health and safety (WHS)</w:t>
      </w:r>
    </w:p>
    <w:p w:rsidR="00000000" w:rsidRPr="008A7EC8" w:rsidP="008A7EC8">
      <w:pPr>
        <w:pStyle w:val="ListBullet2"/>
      </w:pPr>
      <w:r w:rsidRPr="008A7EC8">
        <w:t>planning requirements, schemes and processes</w:t>
      </w:r>
    </w:p>
    <w:p w:rsidR="00000000" w:rsidRPr="008A7EC8" w:rsidP="008A7EC8">
      <w:pPr>
        <w:pStyle w:val="ListBullet2"/>
      </w:pPr>
      <w:r w:rsidRPr="008A7EC8">
        <w:t>compliance relating to construction Type A building design projects:</w:t>
      </w:r>
    </w:p>
    <w:p w:rsidR="00000000" w:rsidRPr="008A7EC8" w:rsidP="008A7EC8">
      <w:pPr>
        <w:pStyle w:val="ListBullet3"/>
      </w:pPr>
      <w:r w:rsidRPr="008A7EC8">
        <w:t>energy efficiency</w:t>
      </w:r>
    </w:p>
    <w:p w:rsidR="00000000" w:rsidRPr="008A7EC8" w:rsidP="008A7EC8">
      <w:pPr>
        <w:pStyle w:val="ListBullet3"/>
      </w:pPr>
      <w:r w:rsidRPr="008A7EC8">
        <w:t>construction materials and methods</w:t>
      </w:r>
    </w:p>
    <w:p w:rsidR="00000000" w:rsidRPr="008A7EC8" w:rsidP="008A7EC8">
      <w:pPr>
        <w:pStyle w:val="ListBullet2"/>
      </w:pPr>
      <w:r w:rsidRPr="008A7EC8">
        <w:t>Australian Standards</w:t>
      </w:r>
    </w:p>
    <w:p w:rsidR="00000000" w:rsidRPr="008A7EC8" w:rsidP="008A7EC8">
      <w:pPr>
        <w:pStyle w:val="ListBullet2"/>
      </w:pPr>
      <w:r w:rsidRPr="008A7EC8">
        <w:t xml:space="preserve">NCC deemed-to-satisfy (DTS) and alternative solution requirements </w:t>
      </w:r>
    </w:p>
    <w:p w:rsidR="00000000" w:rsidRPr="008A7EC8" w:rsidP="008A7EC8">
      <w:pPr>
        <w:pStyle w:val="ListBullet2"/>
      </w:pPr>
      <w:r w:rsidRPr="008A7EC8">
        <w:t>environmental impact and sustainability requirements</w:t>
      </w:r>
    </w:p>
    <w:p w:rsidR="00000000" w:rsidRPr="008A7EC8" w:rsidP="008A7EC8">
      <w:pPr>
        <w:pStyle w:val="ListBullet2"/>
      </w:pPr>
      <w:r w:rsidRPr="008A7EC8">
        <w:t>codes and standards for specific locations and conditions</w:t>
      </w:r>
    </w:p>
    <w:p w:rsidR="00000000" w:rsidRPr="008A7EC8" w:rsidP="008A7EC8">
      <w:pPr>
        <w:pStyle w:val="ListBullet"/>
      </w:pPr>
      <w:r w:rsidRPr="008A7EC8">
        <w:t>applicable variations in compliance requirements for relevant locations and conditions:</w:t>
      </w:r>
    </w:p>
    <w:p w:rsidR="00000000" w:rsidRPr="008A7EC8" w:rsidP="008A7EC8">
      <w:pPr>
        <w:pStyle w:val="ListBullet2"/>
      </w:pPr>
      <w:r w:rsidRPr="008A7EC8">
        <w:t>bushfire threat zones</w:t>
      </w:r>
    </w:p>
    <w:p w:rsidR="00000000" w:rsidRPr="008A7EC8" w:rsidP="008A7EC8">
      <w:pPr>
        <w:pStyle w:val="ListBullet2"/>
      </w:pPr>
      <w:r w:rsidRPr="008A7EC8">
        <w:t>coastal areas</w:t>
      </w:r>
    </w:p>
    <w:p w:rsidR="00000000" w:rsidRPr="008A7EC8" w:rsidP="008A7EC8">
      <w:pPr>
        <w:pStyle w:val="ListBullet2"/>
      </w:pPr>
      <w:r w:rsidRPr="008A7EC8">
        <w:t>climate zones</w:t>
      </w:r>
    </w:p>
    <w:p w:rsidR="00000000" w:rsidRPr="008A7EC8" w:rsidP="008A7EC8">
      <w:pPr>
        <w:pStyle w:val="ListBullet2"/>
      </w:pPr>
      <w:r w:rsidRPr="008A7EC8">
        <w:t>flood zones</w:t>
      </w:r>
    </w:p>
    <w:p w:rsidR="00000000" w:rsidRPr="008A7EC8" w:rsidP="008A7EC8">
      <w:pPr>
        <w:pStyle w:val="ListBullet2"/>
      </w:pPr>
      <w:r w:rsidRPr="008A7EC8">
        <w:t>mountainous areas</w:t>
      </w:r>
    </w:p>
    <w:p w:rsidR="00000000" w:rsidRPr="008A7EC8" w:rsidP="008A7EC8">
      <w:pPr>
        <w:pStyle w:val="ListBullet2"/>
      </w:pPr>
      <w:r w:rsidRPr="008A7EC8">
        <w:t>heritage</w:t>
      </w:r>
    </w:p>
    <w:p w:rsidR="00000000" w:rsidRPr="008A7EC8" w:rsidP="008A7EC8">
      <w:pPr>
        <w:pStyle w:val="ListBullet2"/>
      </w:pPr>
      <w:r w:rsidRPr="008A7EC8">
        <w:t>pest control</w:t>
      </w:r>
    </w:p>
    <w:p w:rsidR="00000000" w:rsidRPr="008A7EC8" w:rsidP="008A7EC8">
      <w:pPr>
        <w:pStyle w:val="ListBullet"/>
      </w:pPr>
      <w:r w:rsidRPr="008A7EC8">
        <w:t>sources of reliable information for interpreting compliance requirements.</w:t>
      </w:r>
    </w:p>
    <w:p w:rsidR="00000000" w:rsidRPr="008A7EC8" w:rsidP="008A7EC8">
      <w:pPr>
        <w:pStyle w:val="AllowPageBreak"/>
      </w:pPr>
    </w:p>
    <w:p w:rsidR="00000000" w:rsidRPr="008A7EC8" w:rsidP="008A7EC8">
      <w:pPr>
        <w:pStyle w:val="Heading1"/>
      </w:pPr>
      <w:bookmarkStart w:id="12" w:name="O_1138101"/>
      <w:bookmarkEnd w:id="12"/>
      <w:r w:rsidRPr="008A7EC8">
        <w:t>Assessment Conditions</w:t>
      </w:r>
    </w:p>
    <w:p w:rsidR="00000000" w:rsidRPr="008A7EC8" w:rsidP="007722A7">
      <w:pPr>
        <w:pStyle w:val="BodyText"/>
      </w:pPr>
      <w:r w:rsidRPr="008A7EC8">
        <w:t>Assessors must meet the requirements for assessors contained in the Standards for Regist</w:t>
      </w:r>
      <w:r w:rsidRPr="008A7EC8">
        <w:t>ered Training Organisations. Competency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8A7EC8" w:rsidP="008A7EC8">
      <w:pPr>
        <w:pStyle w:val="ListBullet"/>
      </w:pPr>
      <w:r w:rsidRPr="008A7EC8">
        <w:t>computer w</w:t>
      </w:r>
      <w:r w:rsidRPr="008A7EC8">
        <w:t>ith internet access and word processing software</w:t>
      </w:r>
    </w:p>
    <w:p w:rsidR="00000000" w:rsidRPr="008A7EC8" w:rsidP="008A7EC8">
      <w:pPr>
        <w:pStyle w:val="ListBullet"/>
      </w:pPr>
      <w:r w:rsidRPr="008A7EC8">
        <w:t xml:space="preserve">relevant workplace documentation, legislation, regulations, codes and standards </w:t>
      </w:r>
    </w:p>
    <w:p w:rsidR="00000000" w:rsidRPr="008A7EC8" w:rsidP="008A7EC8">
      <w:pPr>
        <w:pStyle w:val="ListBullet"/>
      </w:pPr>
      <w:r w:rsidRPr="008A7EC8">
        <w:t>technical references with current information on compliance requirements.</w:t>
      </w:r>
    </w:p>
    <w:p w:rsidR="00000000" w:rsidRPr="008A7EC8" w:rsidP="008A7EC8">
      <w:pPr>
        <w:pStyle w:val="AllowPageBreak"/>
      </w:pPr>
    </w:p>
    <w:p w:rsidR="00000000" w:rsidRPr="008A7EC8" w:rsidP="008A7EC8">
      <w:pPr>
        <w:pStyle w:val="Heading1"/>
      </w:pPr>
      <w:bookmarkStart w:id="13" w:name="O_1138099"/>
      <w:bookmarkEnd w:id="13"/>
      <w:r w:rsidRPr="008A7EC8">
        <w:t>Links</w:t>
      </w:r>
    </w:p>
    <w:p w:rsidR="00000000" w:rsidRPr="008A7EC8" w:rsidP="007722A7">
      <w:pPr>
        <w:pStyle w:val="BodyText"/>
      </w:pPr>
      <w:r w:rsidRPr="008A7E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5D2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A7EC8" w:rsidP="008A7EC8"/>
    <w:sectPr w:rsidSect="008A7E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 w:rsidRPr="007722A7" w:rsidP="00772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A7" w:rsidP="008A7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2A7" w:rsidP="008A7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22A7" w:rsidP="008A7E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 w:rsidP="008A7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2A7">
      <w:t>Approved</w:t>
    </w:r>
    <w:r w:rsidR="007722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2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2A7">
      <w:rPr>
        <w:noProof/>
      </w:rPr>
      <w:t>4</w:t>
    </w:r>
    <w:r>
      <w:rPr>
        <w:noProof/>
      </w:rPr>
      <w:fldChar w:fldCharType="end"/>
    </w:r>
  </w:p>
  <w:p w:rsidR="008A7EC8" w:rsidP="008A7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2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2A7">
      <w:t>BuildSkills Australia</w:t>
    </w:r>
    <w:r w:rsidR="007722A7">
      <w:fldChar w:fldCharType="end"/>
    </w:r>
  </w:p>
  <w:p w:rsidR="008A7EC8" w:rsidP="008A7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EC8" w:rsidRPr="007722A7" w:rsidP="00772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A7" w:rsidRPr="002D2AF8" w:rsidP="008A7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CPPBDN8102 Advise on compliance requirements for large and complex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22A7" w:rsidP="008A7E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 w:rsidRPr="002D2AF8" w:rsidP="008A7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2A7">
      <w:t>CPPBDN8102 Advise on compliance requirements for large and complex building design projects</w:t>
    </w:r>
    <w:r w:rsidR="007722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2A7">
      <w:rPr>
        <w:noProof/>
      </w:rPr>
      <w:t>2 March 2025</w:t>
    </w:r>
    <w:r>
      <w:fldChar w:fldCharType="end"/>
    </w:r>
  </w:p>
  <w:p w:rsidR="008A7EC8" w:rsidP="008A7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C26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6C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4C6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EC8"/>
  </w:style>
  <w:style w:type="character" w:customStyle="1" w:styleId="Heading1Char">
    <w:name w:val="Heading 1 Char"/>
    <w:basedOn w:val="DefaultParagraphFont"/>
    <w:link w:val="Heading1"/>
    <w:rsid w:val="008A7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E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E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7E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7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EC8"/>
    <w:rPr>
      <w:b/>
      <w:spacing w:val="0"/>
    </w:rPr>
  </w:style>
  <w:style w:type="paragraph" w:customStyle="1" w:styleId="SuperTitle">
    <w:name w:val="SuperTitle"/>
    <w:basedOn w:val="Title"/>
    <w:rsid w:val="008A7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E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EC8"/>
    <w:rPr>
      <w:i/>
    </w:rPr>
  </w:style>
  <w:style w:type="paragraph" w:styleId="Caption">
    <w:name w:val="caption"/>
    <w:basedOn w:val="BodyText"/>
    <w:next w:val="Normal"/>
    <w:qFormat/>
    <w:rsid w:val="008A7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EC8"/>
  </w:style>
  <w:style w:type="paragraph" w:styleId="TableofFigures">
    <w:name w:val="table of figures"/>
    <w:basedOn w:val="Normal"/>
    <w:next w:val="Normal"/>
    <w:semiHidden/>
    <w:rsid w:val="008A7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E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7EC8"/>
    <w:rPr>
      <w:rFonts w:ascii="Wingdings" w:hAnsi="Wingdings"/>
    </w:rPr>
  </w:style>
  <w:style w:type="paragraph" w:customStyle="1" w:styleId="TableHeading">
    <w:name w:val="Table Heading"/>
    <w:basedOn w:val="HeadingBase"/>
    <w:rsid w:val="008A7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EC8"/>
    <w:rPr>
      <w:color w:val="0033CC"/>
      <w:u w:val="none"/>
    </w:rPr>
  </w:style>
  <w:style w:type="paragraph" w:customStyle="1" w:styleId="BodyTextRight">
    <w:name w:val="Body Text Right"/>
    <w:basedOn w:val="BodyText"/>
    <w:rsid w:val="008A7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E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EC8"/>
    <w:rPr>
      <w:sz w:val="32"/>
    </w:rPr>
  </w:style>
  <w:style w:type="paragraph" w:customStyle="1" w:styleId="HeadingProcedure">
    <w:name w:val="Heading Procedure"/>
    <w:basedOn w:val="HeadingBase"/>
    <w:next w:val="Normal"/>
    <w:rsid w:val="008A7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EC8"/>
    <w:pPr>
      <w:spacing w:before="60" w:after="60"/>
    </w:pPr>
  </w:style>
  <w:style w:type="paragraph" w:styleId="ListContinue">
    <w:name w:val="List Continue"/>
    <w:basedOn w:val="List"/>
    <w:rsid w:val="008A7EC8"/>
    <w:pPr>
      <w:ind w:firstLine="0"/>
    </w:pPr>
  </w:style>
  <w:style w:type="paragraph" w:customStyle="1" w:styleId="ListNote">
    <w:name w:val="List Note"/>
    <w:basedOn w:val="List"/>
    <w:rsid w:val="008A7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EC8"/>
    <w:rPr>
      <w:rFonts w:ascii="Courier New" w:hAnsi="Courier New"/>
    </w:rPr>
  </w:style>
  <w:style w:type="paragraph" w:customStyle="1" w:styleId="NoteBullet">
    <w:name w:val="Note Bullet"/>
    <w:basedOn w:val="Note"/>
    <w:rsid w:val="008A7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E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EC8"/>
    <w:rPr>
      <w:b/>
      <w:smallCaps/>
    </w:rPr>
  </w:style>
  <w:style w:type="paragraph" w:customStyle="1" w:styleId="TableListNumber">
    <w:name w:val="Table List Number"/>
    <w:basedOn w:val="ListNumber"/>
    <w:rsid w:val="008A7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EC8"/>
    <w:pPr>
      <w:numPr>
        <w:numId w:val="10"/>
      </w:numPr>
    </w:pPr>
  </w:style>
  <w:style w:type="paragraph" w:customStyle="1" w:styleId="ListAlpha2">
    <w:name w:val="List Alpha 2"/>
    <w:basedOn w:val="List2"/>
    <w:rsid w:val="008A7EC8"/>
    <w:pPr>
      <w:numPr>
        <w:numId w:val="9"/>
      </w:numPr>
    </w:pPr>
  </w:style>
  <w:style w:type="paragraph" w:styleId="List2">
    <w:name w:val="List 2"/>
    <w:basedOn w:val="BodyText"/>
    <w:rsid w:val="008A7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E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7E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7EC8"/>
    <w:pPr>
      <w:numPr>
        <w:numId w:val="5"/>
      </w:numPr>
    </w:pPr>
  </w:style>
  <w:style w:type="paragraph" w:styleId="ListContinue2">
    <w:name w:val="List Continue 2"/>
    <w:basedOn w:val="List2"/>
    <w:rsid w:val="008A7EC8"/>
    <w:pPr>
      <w:ind w:firstLine="0"/>
    </w:pPr>
  </w:style>
  <w:style w:type="paragraph" w:styleId="ListContinue3">
    <w:name w:val="List Continue 3"/>
    <w:basedOn w:val="List3"/>
    <w:rsid w:val="008A7EC8"/>
    <w:pPr>
      <w:ind w:left="1021" w:firstLine="0"/>
    </w:pPr>
  </w:style>
  <w:style w:type="paragraph" w:styleId="ListContinue4">
    <w:name w:val="List Continue 4"/>
    <w:basedOn w:val="List4"/>
    <w:rsid w:val="008A7EC8"/>
    <w:pPr>
      <w:ind w:firstLine="0"/>
    </w:pPr>
  </w:style>
  <w:style w:type="paragraph" w:styleId="ListContinue5">
    <w:name w:val="List Continue 5"/>
    <w:basedOn w:val="List5"/>
    <w:rsid w:val="008A7EC8"/>
    <w:pPr>
      <w:ind w:firstLine="0"/>
    </w:pPr>
  </w:style>
  <w:style w:type="paragraph" w:styleId="ListNumber3">
    <w:name w:val="List Number 3"/>
    <w:basedOn w:val="List3"/>
    <w:rsid w:val="008A7EC8"/>
    <w:pPr>
      <w:numPr>
        <w:numId w:val="6"/>
      </w:numPr>
    </w:pPr>
  </w:style>
  <w:style w:type="paragraph" w:styleId="ListNumber4">
    <w:name w:val="List Number 4"/>
    <w:basedOn w:val="List4"/>
    <w:rsid w:val="008A7EC8"/>
    <w:pPr>
      <w:numPr>
        <w:numId w:val="7"/>
      </w:numPr>
    </w:pPr>
  </w:style>
  <w:style w:type="paragraph" w:styleId="ListNumber5">
    <w:name w:val="List Number 5"/>
    <w:basedOn w:val="List5"/>
    <w:rsid w:val="008A7EC8"/>
    <w:pPr>
      <w:numPr>
        <w:numId w:val="8"/>
      </w:numPr>
    </w:pPr>
  </w:style>
  <w:style w:type="paragraph" w:styleId="BlockText">
    <w:name w:val="Block Text"/>
    <w:basedOn w:val="Normal"/>
    <w:rsid w:val="008A7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EC8"/>
    <w:rPr>
      <w:sz w:val="16"/>
      <w:vertAlign w:val="superscript"/>
    </w:rPr>
  </w:style>
  <w:style w:type="character" w:customStyle="1" w:styleId="Symbols">
    <w:name w:val="Symbols"/>
    <w:basedOn w:val="DefaultParagraphFont"/>
    <w:rsid w:val="008A7EC8"/>
    <w:rPr>
      <w:rFonts w:ascii="Symbol" w:hAnsi="Symbol"/>
    </w:rPr>
  </w:style>
  <w:style w:type="character" w:customStyle="1" w:styleId="MenuOptions">
    <w:name w:val="Menu Options"/>
    <w:basedOn w:val="DefaultParagraphFont"/>
    <w:rsid w:val="008A7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EC8"/>
    <w:rPr>
      <w:b/>
    </w:rPr>
  </w:style>
  <w:style w:type="character" w:customStyle="1" w:styleId="Underlined">
    <w:name w:val="Underlined"/>
    <w:basedOn w:val="DefaultParagraphFont"/>
    <w:rsid w:val="008A7EC8"/>
    <w:rPr>
      <w:u w:val="single"/>
    </w:rPr>
  </w:style>
  <w:style w:type="paragraph" w:customStyle="1" w:styleId="TableBodyTextRight">
    <w:name w:val="Table Body Text Right"/>
    <w:basedOn w:val="TableBodyText"/>
    <w:rsid w:val="008A7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EC8"/>
    <w:rPr>
      <w:sz w:val="18"/>
    </w:rPr>
  </w:style>
  <w:style w:type="paragraph" w:customStyle="1" w:styleId="BodySmallRight">
    <w:name w:val="Body Small Right"/>
    <w:basedOn w:val="BodyTextRight"/>
    <w:rsid w:val="008A7EC8"/>
    <w:rPr>
      <w:sz w:val="18"/>
      <w:szCs w:val="18"/>
    </w:rPr>
  </w:style>
  <w:style w:type="paragraph" w:customStyle="1" w:styleId="MarginEdition">
    <w:name w:val="Margin Edition"/>
    <w:basedOn w:val="MarginNote"/>
    <w:rsid w:val="008A7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EC8"/>
    <w:rPr>
      <w:sz w:val="2"/>
      <w:szCs w:val="2"/>
    </w:rPr>
  </w:style>
  <w:style w:type="character" w:customStyle="1" w:styleId="Small">
    <w:name w:val="Small"/>
    <w:basedOn w:val="DefaultParagraphFont"/>
    <w:rsid w:val="008A7EC8"/>
    <w:rPr>
      <w:sz w:val="16"/>
    </w:rPr>
  </w:style>
  <w:style w:type="paragraph" w:customStyle="1" w:styleId="WideTable">
    <w:name w:val="Wide Table"/>
    <w:basedOn w:val="Normal"/>
    <w:rsid w:val="008A7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EC8"/>
  </w:style>
  <w:style w:type="paragraph" w:styleId="Quote">
    <w:name w:val="Quote"/>
    <w:basedOn w:val="Heading1"/>
    <w:link w:val="QuoteChar"/>
    <w:qFormat/>
    <w:rsid w:val="008A7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EC8"/>
    <w:pPr>
      <w:pageBreakBefore/>
    </w:pPr>
  </w:style>
  <w:style w:type="paragraph" w:customStyle="1" w:styleId="Border">
    <w:name w:val="Border"/>
    <w:basedOn w:val="Normal"/>
    <w:qFormat/>
    <w:rsid w:val="008A7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EC8"/>
    <w:rPr>
      <w:u w:val="single"/>
    </w:rPr>
  </w:style>
  <w:style w:type="character" w:customStyle="1" w:styleId="BoldandItalics">
    <w:name w:val="Bold and Italics"/>
    <w:qFormat/>
    <w:rsid w:val="008A7EC8"/>
    <w:rPr>
      <w:b/>
      <w:i/>
      <w:u w:val="none"/>
    </w:rPr>
  </w:style>
  <w:style w:type="paragraph" w:styleId="BalloonText">
    <w:name w:val="Balloon Text"/>
    <w:basedOn w:val="Normal"/>
    <w:link w:val="BalloonTextChar"/>
    <w:rsid w:val="008A7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EC8"/>
    <w:pPr>
      <w:spacing w:before="0" w:after="0"/>
    </w:pPr>
  </w:style>
  <w:style w:type="paragraph" w:customStyle="1" w:styleId="BodyTextBold">
    <w:name w:val="Body Text Bold"/>
    <w:basedOn w:val="BodyText"/>
    <w:qFormat/>
    <w:rsid w:val="008A7EC8"/>
    <w:rPr>
      <w:b/>
    </w:rPr>
  </w:style>
  <w:style w:type="character" w:styleId="Hyperlink">
    <w:name w:val="Hyperlink"/>
    <w:basedOn w:val="DefaultParagraphFont"/>
    <w:uiPriority w:val="99"/>
    <w:unhideWhenUsed/>
    <w:rsid w:val="00772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5495</Characters>
  <Application>Microsoft Office Word</Application>
  <DocSecurity>0</DocSecurity>
  <Lines>196</Lines>
  <Paragraphs>110</Paragraphs>
  <ScaleCrop>false</ScaleCrop>
  <Company>Author-it Software Corporation Ltd.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CPPBDN8102 Advise on compliance requirements for large and complex building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