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A22" w:rsidP="00CD2A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CPPBDN5107 Manage contracts for small-scale building design projects</w:t>
      </w:r>
      <w:r>
        <w:fldChar w:fldCharType="end"/>
      </w:r>
    </w:p>
    <w:p w:rsidR="00CD2A22" w:rsidP="00CD2A22">
      <w:pPr>
        <w:pStyle w:val="Version"/>
        <w:sectPr w:rsidSect="00F46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612" w:rsidP="00F46612">
      <w:pPr>
        <w:pStyle w:val="SuperHeading"/>
      </w:pPr>
      <w:r w:rsidRPr="00F46612">
        <w:t>CPPBDN5107 Manage contracts for small-scale building design projects</w:t>
      </w:r>
    </w:p>
    <w:p w:rsidR="00000000" w:rsidRPr="00F46612" w:rsidP="00F46612">
      <w:pPr>
        <w:pStyle w:val="Heading1"/>
      </w:pPr>
      <w:bookmarkStart w:id="1" w:name="O_1137900"/>
      <w:bookmarkEnd w:id="1"/>
      <w:r w:rsidRPr="00F466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612" w:rsidP="00F46612">
            <w:pPr>
              <w:pStyle w:val="BodyText"/>
            </w:pPr>
            <w:r w:rsidRPr="00F46612">
              <w:t>This version first released with CPP Property Services Training Package Release 11.0.</w:t>
            </w:r>
          </w:p>
          <w:p w:rsidR="00000000" w:rsidRPr="00F46612" w:rsidP="00F46612">
            <w:pPr>
              <w:pStyle w:val="BodyText"/>
            </w:pPr>
            <w:r w:rsidRPr="00F46612">
              <w:t>Supersedes and equivalent to CPPBDN5014A Contribute to construction and building design project finalisation processes.  Updated to meet the Standards for Training Packages 2012.</w:t>
            </w:r>
          </w:p>
        </w:tc>
      </w:tr>
    </w:tbl>
    <w:p w:rsidR="00000000" w:rsidRPr="00F46612" w:rsidP="00F46612">
      <w:pPr>
        <w:pStyle w:val="BodyText"/>
      </w:pPr>
    </w:p>
    <w:p w:rsidR="00000000" w:rsidRPr="00F46612" w:rsidP="00F46612">
      <w:pPr>
        <w:pStyle w:val="AllowPageBreak"/>
      </w:pPr>
    </w:p>
    <w:p w:rsidR="00000000" w:rsidRPr="00F46612" w:rsidP="00F46612">
      <w:pPr>
        <w:pStyle w:val="Heading1"/>
      </w:pPr>
      <w:bookmarkStart w:id="2" w:name="O_1137906"/>
      <w:bookmarkEnd w:id="2"/>
      <w:r w:rsidRPr="00F46612">
        <w:t>Application</w:t>
      </w:r>
    </w:p>
    <w:p w:rsidR="00000000" w:rsidRPr="00F46612" w:rsidP="00CD2A22">
      <w:pPr>
        <w:pStyle w:val="BodyText"/>
      </w:pPr>
      <w:r w:rsidRPr="00F46612">
        <w:t>This unit specifies the skills and knowledge</w:t>
      </w:r>
      <w:r w:rsidRPr="00F46612">
        <w:t xml:space="preserve"> required to manage contracts for small-scale building design projects involving residential, commercial and industrial projects up to 2,000m² floor area. It includes supporting the construction process, conducting defect inspections of buildings, and comm</w:t>
      </w:r>
      <w:r w:rsidRPr="00F46612">
        <w:t>unicating with builders on behalf of clients regarding defects. It also includes finalising the design project and reviewing processes and outcomes to inform improved quality assurance.</w:t>
      </w:r>
    </w:p>
    <w:p w:rsidR="00000000" w:rsidRPr="00F46612" w:rsidP="00CD2A22">
      <w:pPr>
        <w:pStyle w:val="BodyText"/>
      </w:pPr>
      <w:r w:rsidRPr="00F46612">
        <w:t>The unit does not apply to construction Type A buildings as defined in</w:t>
      </w:r>
      <w:r w:rsidRPr="00F46612">
        <w:t xml:space="preserve"> the National Construction Code (NCC).</w:t>
      </w:r>
    </w:p>
    <w:p w:rsidR="00000000" w:rsidRPr="00F46612" w:rsidP="00CD2A22">
      <w:pPr>
        <w:pStyle w:val="BodyText"/>
      </w:pPr>
      <w:r w:rsidRPr="00F46612">
        <w:t>This unit is suitable for drafters and building designers who apply technical and theoretical knowledge and skills to building design work tasks.</w:t>
      </w:r>
    </w:p>
    <w:p w:rsidR="00000000" w:rsidRPr="00F46612" w:rsidP="00CD2A22">
      <w:pPr>
        <w:pStyle w:val="BodyText"/>
      </w:pPr>
      <w:r w:rsidRPr="00F46612">
        <w:t>This unit forms part of the licensing requirements for people engaged i</w:t>
      </w:r>
      <w:r w:rsidRPr="00F46612">
        <w:t>n building design in some states and territories. For further information, check with the relevant regulatory authority.</w:t>
      </w:r>
    </w:p>
    <w:p w:rsidR="00000000" w:rsidRPr="00F46612" w:rsidP="00F46612">
      <w:pPr>
        <w:pStyle w:val="Heading1"/>
      </w:pPr>
      <w:bookmarkStart w:id="3" w:name="O_1137905"/>
      <w:bookmarkEnd w:id="3"/>
      <w:r w:rsidRPr="00F46612">
        <w:t>Pre-requisite Unit</w:t>
      </w:r>
    </w:p>
    <w:p w:rsidR="00000000" w:rsidRPr="00F46612" w:rsidP="00CD2A22">
      <w:pPr>
        <w:pStyle w:val="BodyText"/>
      </w:pPr>
      <w:r w:rsidRPr="00F46612">
        <w:t>Nil.</w:t>
      </w:r>
    </w:p>
    <w:p w:rsidR="00000000" w:rsidRPr="00F46612" w:rsidP="00F46612">
      <w:pPr>
        <w:pStyle w:val="Heading1"/>
      </w:pPr>
      <w:bookmarkStart w:id="4" w:name="O_1137904"/>
      <w:bookmarkEnd w:id="4"/>
      <w:r w:rsidRPr="00F46612">
        <w:t>Unit Sector</w:t>
      </w:r>
    </w:p>
    <w:p w:rsidR="00000000" w:rsidRPr="00F46612" w:rsidP="00CD2A22">
      <w:pPr>
        <w:pStyle w:val="BodyText"/>
      </w:pPr>
      <w:r w:rsidRPr="00F46612">
        <w:t>Building Design</w:t>
      </w:r>
    </w:p>
    <w:p w:rsidR="00000000" w:rsidRPr="00F46612" w:rsidP="00F46612">
      <w:pPr>
        <w:pStyle w:val="Heading1"/>
      </w:pPr>
      <w:bookmarkStart w:id="5" w:name="O_1137903"/>
      <w:bookmarkEnd w:id="5"/>
      <w:r w:rsidRPr="00F46612">
        <w:t>Elements and Performance C</w:t>
      </w:r>
      <w:r w:rsidRPr="00F46612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Performance criteria describe what needs to be done to demonstrate achievement of the element.</w:t>
            </w: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Advise and support clients and contractors during administration of a building construction contract.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Determine contractual obligations to act on behalf of client during construction of small-scale building design projects.</w:t>
            </w: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Provide client and contractors with clarification and amendments to construction drawings and specifications as required.</w:t>
            </w: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Identify relevant persons to support the construction process according to contractual obligations and workplace requirements.</w:t>
            </w: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Inform client of contract variance and process and cost implications.</w:t>
            </w: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Advise client of project progress and bud</w:t>
            </w:r>
            <w:r w:rsidRPr="00F46612">
              <w:t>get changes.</w:t>
            </w: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Monitor defect resolution on behalf of clients.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Monitor stages of building completion and quality.</w:t>
            </w: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Discuss defects identified during inspections at stages of building completion with contractors and client.</w:t>
            </w: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Negotiate defect resolution with contractors and client and agree and detail solutions and costs.</w:t>
            </w: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Document formal defect resolution and process according to contractual obligations and workplace requirements.</w:t>
            </w: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Finalise and evaluate building design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Assist client and relevant persons, within limits of competence and legal responsibility, to obtain certificates of completion for building design project.</w:t>
            </w: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Review and process project documentation n</w:t>
            </w:r>
            <w:r w:rsidRPr="00F46612">
              <w:t>oting issues that arose and agreed solutions according to workplace requirements.</w:t>
            </w:r>
          </w:p>
        </w:tc>
      </w:tr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612" w:rsidP="00F46612">
            <w:pPr>
              <w:pStyle w:val="BodyText"/>
            </w:pPr>
            <w:r w:rsidRPr="00F46612">
              <w:t>Discuss project issues and solutions with relevant persons and explore process improvement strategies.</w:t>
            </w:r>
          </w:p>
        </w:tc>
      </w:tr>
    </w:tbl>
    <w:p w:rsidR="00000000" w:rsidRPr="00F46612" w:rsidP="00F46612">
      <w:pPr>
        <w:pStyle w:val="BodyText"/>
      </w:pPr>
    </w:p>
    <w:p w:rsidR="00000000" w:rsidRPr="00F46612" w:rsidP="00F46612">
      <w:pPr>
        <w:pStyle w:val="AllowPageBreak"/>
      </w:pPr>
    </w:p>
    <w:p w:rsidR="00000000" w:rsidRPr="00F46612" w:rsidP="00F46612">
      <w:pPr>
        <w:pStyle w:val="Heading1"/>
      </w:pPr>
      <w:bookmarkStart w:id="6" w:name="O_1137902"/>
      <w:bookmarkEnd w:id="6"/>
      <w:r w:rsidRPr="00F46612">
        <w:t>Foundation Skills</w:t>
      </w:r>
    </w:p>
    <w:p w:rsidR="00000000" w:rsidRPr="00F46612" w:rsidP="00CD2A22">
      <w:pPr>
        <w:pStyle w:val="BodyText"/>
      </w:pPr>
      <w:r w:rsidRPr="00F46612">
        <w:t>As well as the foundation skills explicit in the performance criteria of this unit, candidates require:</w:t>
      </w:r>
    </w:p>
    <w:p w:rsidR="00000000" w:rsidRPr="00F46612" w:rsidP="00F46612">
      <w:pPr>
        <w:pStyle w:val="ListBullet"/>
      </w:pPr>
      <w:r w:rsidRPr="00F46612">
        <w:t>reading skills to interpret complex technical information in project contracts</w:t>
      </w:r>
    </w:p>
    <w:p w:rsidR="00000000" w:rsidRPr="00F46612" w:rsidP="00F46612">
      <w:pPr>
        <w:pStyle w:val="ListBullet"/>
      </w:pPr>
      <w:r w:rsidRPr="00F46612">
        <w:t>written and oral skills to communicate appropriately for the audience an</w:t>
      </w:r>
      <w:r w:rsidRPr="00F46612">
        <w:t>d situation.</w:t>
      </w:r>
    </w:p>
    <w:p w:rsidR="00000000" w:rsidRPr="00F46612" w:rsidP="00F46612">
      <w:pPr>
        <w:pStyle w:val="AllowPageBreak"/>
      </w:pPr>
    </w:p>
    <w:p w:rsidR="00000000" w:rsidRPr="00F46612" w:rsidP="00F46612">
      <w:pPr>
        <w:pStyle w:val="Heading1"/>
      </w:pPr>
      <w:bookmarkStart w:id="7" w:name="O_1137901"/>
      <w:bookmarkEnd w:id="7"/>
      <w:r w:rsidRPr="00F46612">
        <w:t>Unit Mapping Information</w:t>
      </w:r>
    </w:p>
    <w:p w:rsidR="00000000" w:rsidRPr="00F46612" w:rsidP="00CD2A22">
      <w:pPr>
        <w:pStyle w:val="BodyText"/>
      </w:pPr>
      <w:r w:rsidRPr="00F46612">
        <w:t>Supersedes and equivalent to CPPBDN5014A Contribute to construction and building design project finalisation processes.</w:t>
      </w:r>
    </w:p>
    <w:p w:rsidR="00000000" w:rsidRPr="00F46612" w:rsidP="00F46612">
      <w:pPr>
        <w:pStyle w:val="Heading1"/>
      </w:pPr>
      <w:bookmarkStart w:id="8" w:name="O_1137894"/>
      <w:bookmarkEnd w:id="8"/>
      <w:r w:rsidRPr="00F46612">
        <w:t>Links</w:t>
      </w:r>
    </w:p>
    <w:p w:rsidR="00000000" w:rsidRPr="00F46612" w:rsidP="00CD2A22">
      <w:pPr>
        <w:pStyle w:val="BodyText"/>
      </w:pPr>
      <w:r w:rsidRPr="00F46612">
        <w:t>Companion volumes to this training package are availab</w:t>
      </w:r>
      <w:r w:rsidRPr="00F46612">
        <w:t xml:space="preserve">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45BC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46612" w:rsidP="00CD2A22">
      <w:pPr>
        <w:pStyle w:val="BodyText"/>
        <w:sectPr w:rsidSect="00F466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6612" w:rsidP="00F46612">
      <w:pPr>
        <w:pStyle w:val="SuperHeading"/>
      </w:pPr>
      <w:r w:rsidRPr="00F46612">
        <w:t>Assessment Requirements for CPPBDN5107 Manage contracts for small-scale building design projects</w:t>
      </w:r>
    </w:p>
    <w:p w:rsidR="00000000" w:rsidRPr="00F46612" w:rsidP="00F46612">
      <w:pPr>
        <w:pStyle w:val="Heading1"/>
      </w:pPr>
      <w:bookmarkStart w:id="9" w:name="O_1137896"/>
      <w:bookmarkEnd w:id="9"/>
      <w:r w:rsidRPr="00F466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46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612">
            <w:pPr>
              <w:pStyle w:val="BodyText"/>
              <w:rPr>
                <w:lang w:val="en-NZ"/>
              </w:rPr>
            </w:pPr>
            <w:r w:rsidRPr="00F4661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612" w:rsidP="00F46612">
            <w:pPr>
              <w:pStyle w:val="BodyText"/>
            </w:pPr>
            <w:r w:rsidRPr="00F46612">
              <w:t>This version first released with CPP Property Services Training Package Release 11.0.</w:t>
            </w:r>
          </w:p>
          <w:p w:rsidR="00000000" w:rsidRPr="00F46612" w:rsidP="00F46612">
            <w:pPr>
              <w:pStyle w:val="BodyText"/>
            </w:pPr>
            <w:r w:rsidRPr="00F46612">
              <w:t xml:space="preserve">Supersedes and equivalent to CPPBDN5014A Contribute to construction and building design project finalisation processes.  </w:t>
            </w:r>
            <w:r w:rsidRPr="00F46612">
              <w:t>Updated to meet the Standards for Training Packages 2012.</w:t>
            </w:r>
          </w:p>
        </w:tc>
      </w:tr>
    </w:tbl>
    <w:p w:rsidR="00000000" w:rsidRPr="00F46612" w:rsidP="00F46612">
      <w:pPr>
        <w:pStyle w:val="BodyText"/>
      </w:pPr>
    </w:p>
    <w:p w:rsidR="00000000" w:rsidRPr="00F46612" w:rsidP="00F46612">
      <w:pPr>
        <w:pStyle w:val="AllowPageBreak"/>
      </w:pPr>
    </w:p>
    <w:p w:rsidR="00000000" w:rsidRPr="00F46612" w:rsidP="00F46612">
      <w:pPr>
        <w:pStyle w:val="Heading1"/>
      </w:pPr>
      <w:bookmarkStart w:id="10" w:name="O_1137899"/>
      <w:bookmarkEnd w:id="10"/>
      <w:r w:rsidRPr="00F46612">
        <w:t>Performance Evidence</w:t>
      </w:r>
    </w:p>
    <w:p w:rsidR="00000000" w:rsidRPr="00F46612" w:rsidP="00CD2A22">
      <w:pPr>
        <w:pStyle w:val="BodyText"/>
      </w:pPr>
      <w:r w:rsidRPr="00F46612">
        <w:t>To demonstrate competency, a candidate must meet the performance criteria of this unit by providing technical advice, support and defect resolution to clien</w:t>
      </w:r>
      <w:r w:rsidRPr="00F46612">
        <w:t>ts and contractors for one residential building design project and one commercial or industrial building design project, each to a maximum floor area of 2,000m².</w:t>
      </w:r>
    </w:p>
    <w:p w:rsidR="00000000" w:rsidRPr="00F46612" w:rsidP="00F46612">
      <w:pPr>
        <w:pStyle w:val="Heading1"/>
      </w:pPr>
      <w:bookmarkStart w:id="11" w:name="O_1137898"/>
      <w:bookmarkEnd w:id="11"/>
      <w:r w:rsidRPr="00F46612">
        <w:t>Knowledge Evidence</w:t>
      </w:r>
    </w:p>
    <w:p w:rsidR="00000000" w:rsidRPr="00F46612" w:rsidP="00CD2A22">
      <w:pPr>
        <w:pStyle w:val="BodyText"/>
      </w:pPr>
      <w:r w:rsidRPr="00F46612">
        <w:t>To be competent in this unit, a candidate must demonstra</w:t>
      </w:r>
      <w:r w:rsidRPr="00F46612">
        <w:t>te knowledge of:</w:t>
      </w:r>
    </w:p>
    <w:p w:rsidR="00000000" w:rsidRPr="00F46612" w:rsidP="00F46612">
      <w:pPr>
        <w:pStyle w:val="ListBullet"/>
      </w:pPr>
      <w:r w:rsidRPr="00F46612">
        <w:t xml:space="preserve">legislation, codes and standards relevant to small-scale building design projects </w:t>
      </w:r>
    </w:p>
    <w:p w:rsidR="00000000" w:rsidRPr="00F46612" w:rsidP="00F46612">
      <w:pPr>
        <w:pStyle w:val="ListBullet"/>
      </w:pPr>
      <w:r w:rsidRPr="00F46612">
        <w:t>contract compliance and management</w:t>
      </w:r>
    </w:p>
    <w:p w:rsidR="00000000" w:rsidRPr="00F46612" w:rsidP="00F46612">
      <w:pPr>
        <w:pStyle w:val="ListBullet"/>
      </w:pPr>
      <w:r w:rsidRPr="00F46612">
        <w:t>drawing standards</w:t>
      </w:r>
    </w:p>
    <w:p w:rsidR="00000000" w:rsidRPr="00F46612" w:rsidP="00F46612">
      <w:pPr>
        <w:pStyle w:val="ListBullet"/>
      </w:pPr>
      <w:r w:rsidRPr="00F46612">
        <w:t>work health and safety (WHS) responsibilities of designers</w:t>
      </w:r>
    </w:p>
    <w:p w:rsidR="00000000" w:rsidRPr="00F46612" w:rsidP="00F46612">
      <w:pPr>
        <w:pStyle w:val="ListBullet"/>
      </w:pPr>
      <w:r w:rsidRPr="00F46612">
        <w:t xml:space="preserve">construction materials and methods </w:t>
      </w:r>
    </w:p>
    <w:p w:rsidR="00000000" w:rsidRPr="00F46612" w:rsidP="00F46612">
      <w:pPr>
        <w:pStyle w:val="ListBullet"/>
      </w:pPr>
      <w:r w:rsidRPr="00F46612">
        <w:t>construction project completion processes:</w:t>
      </w:r>
    </w:p>
    <w:p w:rsidR="00000000" w:rsidRPr="00F46612" w:rsidP="00F46612">
      <w:pPr>
        <w:pStyle w:val="ListBullet2"/>
      </w:pPr>
      <w:r w:rsidRPr="00F46612">
        <w:t>practical completion</w:t>
      </w:r>
    </w:p>
    <w:p w:rsidR="00000000" w:rsidRPr="00F46612" w:rsidP="00F46612">
      <w:pPr>
        <w:pStyle w:val="ListBullet2"/>
      </w:pPr>
      <w:r w:rsidRPr="00F46612">
        <w:t>final completion or handover</w:t>
      </w:r>
    </w:p>
    <w:p w:rsidR="00000000" w:rsidRPr="00F46612" w:rsidP="00F46612">
      <w:pPr>
        <w:pStyle w:val="ListBullet2"/>
      </w:pPr>
      <w:r w:rsidRPr="00F46612">
        <w:t>end of defect liability period</w:t>
      </w:r>
    </w:p>
    <w:p w:rsidR="00000000" w:rsidRPr="00F46612" w:rsidP="00F46612">
      <w:pPr>
        <w:pStyle w:val="ListBullet"/>
      </w:pPr>
      <w:r w:rsidRPr="00F46612">
        <w:t>potential solutions for defects arising in construction projects.</w:t>
      </w:r>
    </w:p>
    <w:p w:rsidR="00000000" w:rsidRPr="00F46612" w:rsidP="00F46612">
      <w:pPr>
        <w:pStyle w:val="AllowPageBreak"/>
      </w:pPr>
    </w:p>
    <w:p w:rsidR="00000000" w:rsidRPr="00F46612" w:rsidP="00F46612">
      <w:pPr>
        <w:pStyle w:val="Heading1"/>
      </w:pPr>
      <w:bookmarkStart w:id="12" w:name="O_1137897"/>
      <w:bookmarkEnd w:id="12"/>
      <w:r w:rsidRPr="00F46612">
        <w:t>Assessment Conditions</w:t>
      </w:r>
    </w:p>
    <w:p w:rsidR="00000000" w:rsidRPr="00F46612" w:rsidP="00CD2A22">
      <w:pPr>
        <w:pStyle w:val="BodyText"/>
      </w:pPr>
      <w:r w:rsidRPr="00F46612">
        <w:t>Assessors must meet the</w:t>
      </w:r>
      <w:r w:rsidRPr="00F46612">
        <w:t xml:space="preserve"> requirements for assessors contained in the Standards for Registered Training Organisations. Competency is to be assessed in the workplace or a simulated environment that accurately reflects performance in a real workplace setting where these skills and k</w:t>
      </w:r>
      <w:r w:rsidRPr="00F46612">
        <w:t>nowledge would be performed. This includes access to:</w:t>
      </w:r>
    </w:p>
    <w:p w:rsidR="00000000" w:rsidRPr="00F46612" w:rsidP="00F46612">
      <w:pPr>
        <w:pStyle w:val="ListBullet"/>
      </w:pPr>
      <w:r w:rsidRPr="00F46612">
        <w:t>computer with internet access and word processing software</w:t>
      </w:r>
    </w:p>
    <w:p w:rsidR="00000000" w:rsidRPr="00F46612" w:rsidP="00F46612">
      <w:pPr>
        <w:pStyle w:val="ListBullet"/>
      </w:pPr>
      <w:r w:rsidRPr="00F46612">
        <w:t xml:space="preserve">relevant legislation, regulations, codes and standards </w:t>
      </w:r>
    </w:p>
    <w:p w:rsidR="00000000" w:rsidRPr="00F46612" w:rsidP="00F46612">
      <w:pPr>
        <w:pStyle w:val="ListBullet"/>
      </w:pPr>
      <w:r w:rsidRPr="00F46612">
        <w:t xml:space="preserve">technical references </w:t>
      </w:r>
    </w:p>
    <w:p w:rsidR="00000000" w:rsidRPr="00F46612" w:rsidP="00F46612">
      <w:pPr>
        <w:pStyle w:val="ListBullet"/>
      </w:pPr>
      <w:r w:rsidRPr="00F46612">
        <w:t>relevant workplace procedures and policies</w:t>
      </w:r>
    </w:p>
    <w:p w:rsidR="00000000" w:rsidRPr="00F46612" w:rsidP="00F46612">
      <w:pPr>
        <w:pStyle w:val="ListBullet"/>
      </w:pPr>
      <w:r w:rsidRPr="00F46612">
        <w:t xml:space="preserve">building project documentation: </w:t>
      </w:r>
    </w:p>
    <w:p w:rsidR="00000000" w:rsidRPr="00F46612" w:rsidP="00F46612">
      <w:pPr>
        <w:pStyle w:val="ListBullet2"/>
      </w:pPr>
      <w:r w:rsidRPr="00F46612">
        <w:t>construction drawings</w:t>
      </w:r>
    </w:p>
    <w:p w:rsidR="00000000" w:rsidRPr="00F46612" w:rsidP="00F46612">
      <w:pPr>
        <w:pStyle w:val="ListBullet2"/>
      </w:pPr>
      <w:r w:rsidRPr="00F46612">
        <w:t>specifications</w:t>
      </w:r>
    </w:p>
    <w:p w:rsidR="00000000" w:rsidRPr="00F46612" w:rsidP="00F46612">
      <w:pPr>
        <w:pStyle w:val="ListBullet2"/>
      </w:pPr>
      <w:r w:rsidRPr="00F46612">
        <w:t>contract documents</w:t>
      </w:r>
    </w:p>
    <w:p w:rsidR="00000000" w:rsidRPr="00F46612" w:rsidP="00F46612">
      <w:pPr>
        <w:pStyle w:val="ListBullet2"/>
      </w:pPr>
      <w:r w:rsidRPr="00F46612">
        <w:t>inspection reports.</w:t>
      </w:r>
    </w:p>
    <w:p w:rsidR="00000000" w:rsidRPr="00F46612" w:rsidP="00F46612">
      <w:pPr>
        <w:pStyle w:val="AllowPageBreak"/>
      </w:pPr>
    </w:p>
    <w:p w:rsidR="00000000" w:rsidRPr="00F46612" w:rsidP="00F46612">
      <w:pPr>
        <w:pStyle w:val="Heading1"/>
      </w:pPr>
      <w:bookmarkStart w:id="13" w:name="O_1137895"/>
      <w:bookmarkEnd w:id="13"/>
      <w:r w:rsidRPr="00F46612">
        <w:t>Links</w:t>
      </w:r>
    </w:p>
    <w:p w:rsidR="00000000" w:rsidRPr="00F46612" w:rsidP="00CD2A22">
      <w:pPr>
        <w:pStyle w:val="BodyText"/>
      </w:pPr>
      <w:r w:rsidRPr="00F4661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45BC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46612" w:rsidP="00F46612"/>
    <w:sectPr w:rsidSect="00F466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12" w:rsidRPr="00CD2A22" w:rsidP="00CD2A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22" w:rsidP="00F46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2A22" w:rsidP="00F46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D2A22" w:rsidP="00F466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12" w:rsidP="00F46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2A22">
      <w:t>Approved</w:t>
    </w:r>
    <w:r w:rsidR="00CD2A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2A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2A22">
      <w:rPr>
        <w:noProof/>
      </w:rPr>
      <w:t>4</w:t>
    </w:r>
    <w:r>
      <w:rPr>
        <w:noProof/>
      </w:rPr>
      <w:fldChar w:fldCharType="end"/>
    </w:r>
  </w:p>
  <w:p w:rsidR="00F46612" w:rsidP="00F46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2A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2A22">
      <w:t>BuildSkills Australia</w:t>
    </w:r>
    <w:r w:rsidR="00CD2A22">
      <w:fldChar w:fldCharType="end"/>
    </w:r>
  </w:p>
  <w:p w:rsidR="00F46612" w:rsidP="00F46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612" w:rsidRPr="00CD2A22" w:rsidP="00CD2A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22" w:rsidRPr="002D2AF8" w:rsidP="00F46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CPPBDN5107 Manage contracts for small-scale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2A22" w:rsidP="00F466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12" w:rsidRPr="002D2AF8" w:rsidP="00F46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2A22">
      <w:t>CPPBDN5107 Manage contracts for small-scale building design projects</w:t>
    </w:r>
    <w:r w:rsidR="00CD2A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2A22">
      <w:rPr>
        <w:noProof/>
      </w:rPr>
      <w:t>2 March 2025</w:t>
    </w:r>
    <w:r>
      <w:fldChar w:fldCharType="end"/>
    </w:r>
  </w:p>
  <w:p w:rsidR="00F46612" w:rsidP="00F46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30F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50E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0C7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612"/>
  </w:style>
  <w:style w:type="character" w:customStyle="1" w:styleId="Heading1Char">
    <w:name w:val="Heading 1 Char"/>
    <w:basedOn w:val="DefaultParagraphFont"/>
    <w:link w:val="Heading1"/>
    <w:rsid w:val="00F46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6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6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66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6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6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6612"/>
    <w:rPr>
      <w:b/>
      <w:spacing w:val="0"/>
    </w:rPr>
  </w:style>
  <w:style w:type="paragraph" w:customStyle="1" w:styleId="SuperTitle">
    <w:name w:val="SuperTitle"/>
    <w:basedOn w:val="Title"/>
    <w:rsid w:val="00F46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6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6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612"/>
    <w:rPr>
      <w:i/>
    </w:rPr>
  </w:style>
  <w:style w:type="paragraph" w:styleId="Caption">
    <w:name w:val="caption"/>
    <w:basedOn w:val="BodyText"/>
    <w:next w:val="Normal"/>
    <w:qFormat/>
    <w:rsid w:val="00F46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612"/>
  </w:style>
  <w:style w:type="paragraph" w:styleId="TableofFigures">
    <w:name w:val="table of figures"/>
    <w:basedOn w:val="Normal"/>
    <w:next w:val="Normal"/>
    <w:semiHidden/>
    <w:rsid w:val="00F46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6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6612"/>
    <w:rPr>
      <w:rFonts w:ascii="Wingdings" w:hAnsi="Wingdings"/>
    </w:rPr>
  </w:style>
  <w:style w:type="paragraph" w:customStyle="1" w:styleId="TableHeading">
    <w:name w:val="Table Heading"/>
    <w:basedOn w:val="HeadingBase"/>
    <w:rsid w:val="00F466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612"/>
    <w:rPr>
      <w:color w:val="0033CC"/>
      <w:u w:val="none"/>
    </w:rPr>
  </w:style>
  <w:style w:type="paragraph" w:customStyle="1" w:styleId="BodyTextRight">
    <w:name w:val="Body Text Right"/>
    <w:basedOn w:val="BodyText"/>
    <w:rsid w:val="00F46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6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612"/>
    <w:rPr>
      <w:sz w:val="32"/>
    </w:rPr>
  </w:style>
  <w:style w:type="paragraph" w:customStyle="1" w:styleId="HeadingProcedure">
    <w:name w:val="Heading Procedure"/>
    <w:basedOn w:val="HeadingBase"/>
    <w:next w:val="Normal"/>
    <w:rsid w:val="00F46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612"/>
    <w:pPr>
      <w:spacing w:before="60" w:after="60"/>
    </w:pPr>
  </w:style>
  <w:style w:type="paragraph" w:styleId="ListContinue">
    <w:name w:val="List Continue"/>
    <w:basedOn w:val="List"/>
    <w:rsid w:val="00F46612"/>
    <w:pPr>
      <w:ind w:firstLine="0"/>
    </w:pPr>
  </w:style>
  <w:style w:type="paragraph" w:customStyle="1" w:styleId="ListNote">
    <w:name w:val="List Note"/>
    <w:basedOn w:val="List"/>
    <w:rsid w:val="00F46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612"/>
    <w:rPr>
      <w:rFonts w:ascii="Courier New" w:hAnsi="Courier New"/>
    </w:rPr>
  </w:style>
  <w:style w:type="paragraph" w:customStyle="1" w:styleId="NoteBullet">
    <w:name w:val="Note Bullet"/>
    <w:basedOn w:val="Note"/>
    <w:rsid w:val="00F46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6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6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612"/>
    <w:rPr>
      <w:b/>
      <w:smallCaps/>
    </w:rPr>
  </w:style>
  <w:style w:type="paragraph" w:customStyle="1" w:styleId="TableListNumber">
    <w:name w:val="Table List Number"/>
    <w:basedOn w:val="ListNumber"/>
    <w:rsid w:val="00F46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612"/>
    <w:pPr>
      <w:numPr>
        <w:numId w:val="9"/>
      </w:numPr>
    </w:pPr>
  </w:style>
  <w:style w:type="paragraph" w:customStyle="1" w:styleId="ListAlpha2">
    <w:name w:val="List Alpha 2"/>
    <w:basedOn w:val="List2"/>
    <w:rsid w:val="00F46612"/>
    <w:pPr>
      <w:numPr>
        <w:numId w:val="8"/>
      </w:numPr>
    </w:pPr>
  </w:style>
  <w:style w:type="paragraph" w:styleId="List2">
    <w:name w:val="List 2"/>
    <w:basedOn w:val="BodyText"/>
    <w:rsid w:val="00F46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6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6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6612"/>
    <w:pPr>
      <w:numPr>
        <w:numId w:val="4"/>
      </w:numPr>
    </w:pPr>
  </w:style>
  <w:style w:type="paragraph" w:styleId="ListContinue2">
    <w:name w:val="List Continue 2"/>
    <w:basedOn w:val="List2"/>
    <w:rsid w:val="00F46612"/>
    <w:pPr>
      <w:ind w:firstLine="0"/>
    </w:pPr>
  </w:style>
  <w:style w:type="paragraph" w:styleId="ListContinue3">
    <w:name w:val="List Continue 3"/>
    <w:basedOn w:val="List3"/>
    <w:rsid w:val="00F46612"/>
    <w:pPr>
      <w:ind w:left="1021" w:firstLine="0"/>
    </w:pPr>
  </w:style>
  <w:style w:type="paragraph" w:styleId="ListContinue4">
    <w:name w:val="List Continue 4"/>
    <w:basedOn w:val="List4"/>
    <w:rsid w:val="00F46612"/>
    <w:pPr>
      <w:ind w:firstLine="0"/>
    </w:pPr>
  </w:style>
  <w:style w:type="paragraph" w:styleId="ListContinue5">
    <w:name w:val="List Continue 5"/>
    <w:basedOn w:val="List5"/>
    <w:rsid w:val="00F46612"/>
    <w:pPr>
      <w:ind w:firstLine="0"/>
    </w:pPr>
  </w:style>
  <w:style w:type="paragraph" w:styleId="ListNumber3">
    <w:name w:val="List Number 3"/>
    <w:basedOn w:val="List3"/>
    <w:rsid w:val="00F46612"/>
    <w:pPr>
      <w:numPr>
        <w:numId w:val="5"/>
      </w:numPr>
    </w:pPr>
  </w:style>
  <w:style w:type="paragraph" w:styleId="ListNumber4">
    <w:name w:val="List Number 4"/>
    <w:basedOn w:val="List4"/>
    <w:rsid w:val="00F46612"/>
    <w:pPr>
      <w:numPr>
        <w:numId w:val="6"/>
      </w:numPr>
    </w:pPr>
  </w:style>
  <w:style w:type="paragraph" w:styleId="ListNumber5">
    <w:name w:val="List Number 5"/>
    <w:basedOn w:val="List5"/>
    <w:rsid w:val="00F46612"/>
    <w:pPr>
      <w:numPr>
        <w:numId w:val="7"/>
      </w:numPr>
    </w:pPr>
  </w:style>
  <w:style w:type="paragraph" w:styleId="BlockText">
    <w:name w:val="Block Text"/>
    <w:basedOn w:val="Normal"/>
    <w:rsid w:val="00F46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612"/>
    <w:rPr>
      <w:sz w:val="16"/>
      <w:vertAlign w:val="superscript"/>
    </w:rPr>
  </w:style>
  <w:style w:type="character" w:customStyle="1" w:styleId="Symbols">
    <w:name w:val="Symbols"/>
    <w:basedOn w:val="DefaultParagraphFont"/>
    <w:rsid w:val="00F46612"/>
    <w:rPr>
      <w:rFonts w:ascii="Symbol" w:hAnsi="Symbol"/>
    </w:rPr>
  </w:style>
  <w:style w:type="character" w:customStyle="1" w:styleId="MenuOptions">
    <w:name w:val="Menu Options"/>
    <w:basedOn w:val="DefaultParagraphFont"/>
    <w:rsid w:val="00F46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612"/>
    <w:rPr>
      <w:b/>
    </w:rPr>
  </w:style>
  <w:style w:type="character" w:customStyle="1" w:styleId="Underlined">
    <w:name w:val="Underlined"/>
    <w:basedOn w:val="DefaultParagraphFont"/>
    <w:rsid w:val="00F46612"/>
    <w:rPr>
      <w:u w:val="single"/>
    </w:rPr>
  </w:style>
  <w:style w:type="paragraph" w:customStyle="1" w:styleId="TableBodyTextRight">
    <w:name w:val="Table Body Text Right"/>
    <w:basedOn w:val="TableBodyText"/>
    <w:rsid w:val="00F46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612"/>
    <w:rPr>
      <w:sz w:val="18"/>
    </w:rPr>
  </w:style>
  <w:style w:type="paragraph" w:customStyle="1" w:styleId="BodySmallRight">
    <w:name w:val="Body Small Right"/>
    <w:basedOn w:val="BodyTextRight"/>
    <w:rsid w:val="00F46612"/>
    <w:rPr>
      <w:sz w:val="18"/>
      <w:szCs w:val="18"/>
    </w:rPr>
  </w:style>
  <w:style w:type="paragraph" w:customStyle="1" w:styleId="MarginEdition">
    <w:name w:val="Margin Edition"/>
    <w:basedOn w:val="MarginNote"/>
    <w:rsid w:val="00F46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612"/>
    <w:rPr>
      <w:sz w:val="2"/>
      <w:szCs w:val="2"/>
    </w:rPr>
  </w:style>
  <w:style w:type="character" w:customStyle="1" w:styleId="Small">
    <w:name w:val="Small"/>
    <w:basedOn w:val="DefaultParagraphFont"/>
    <w:rsid w:val="00F46612"/>
    <w:rPr>
      <w:sz w:val="16"/>
    </w:rPr>
  </w:style>
  <w:style w:type="paragraph" w:customStyle="1" w:styleId="WideTable">
    <w:name w:val="Wide Table"/>
    <w:basedOn w:val="Normal"/>
    <w:rsid w:val="00F46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612"/>
  </w:style>
  <w:style w:type="paragraph" w:styleId="Quote">
    <w:name w:val="Quote"/>
    <w:basedOn w:val="Heading1"/>
    <w:link w:val="QuoteChar"/>
    <w:qFormat/>
    <w:rsid w:val="00F46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612"/>
    <w:pPr>
      <w:pageBreakBefore/>
    </w:pPr>
  </w:style>
  <w:style w:type="paragraph" w:customStyle="1" w:styleId="Border">
    <w:name w:val="Border"/>
    <w:basedOn w:val="Normal"/>
    <w:qFormat/>
    <w:rsid w:val="00F46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612"/>
    <w:rPr>
      <w:u w:val="single"/>
    </w:rPr>
  </w:style>
  <w:style w:type="character" w:customStyle="1" w:styleId="BoldandItalics">
    <w:name w:val="Bold and Italics"/>
    <w:qFormat/>
    <w:rsid w:val="00F46612"/>
    <w:rPr>
      <w:b/>
      <w:i/>
      <w:u w:val="none"/>
    </w:rPr>
  </w:style>
  <w:style w:type="paragraph" w:styleId="BalloonText">
    <w:name w:val="Balloon Text"/>
    <w:basedOn w:val="Normal"/>
    <w:link w:val="BalloonTextChar"/>
    <w:rsid w:val="00F46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612"/>
    <w:pPr>
      <w:spacing w:before="0" w:after="0"/>
    </w:pPr>
  </w:style>
  <w:style w:type="paragraph" w:customStyle="1" w:styleId="BodyTextBold">
    <w:name w:val="Body Text Bold"/>
    <w:basedOn w:val="BodyText"/>
    <w:qFormat/>
    <w:rsid w:val="00F46612"/>
    <w:rPr>
      <w:b/>
    </w:rPr>
  </w:style>
  <w:style w:type="character" w:styleId="Hyperlink">
    <w:name w:val="Hyperlink"/>
    <w:basedOn w:val="DefaultParagraphFont"/>
    <w:uiPriority w:val="99"/>
    <w:unhideWhenUsed/>
    <w:rsid w:val="00CD2A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5297</Characters>
  <Application>Microsoft Office Word</Application>
  <DocSecurity>0</DocSecurity>
  <Lines>196</Lines>
  <Paragraphs>106</Paragraphs>
  <ScaleCrop>false</ScaleCrop>
  <Company>Author-it Software Corporation Ltd.</Company>
  <LinksUpToDate>false</LinksUpToDate>
  <CharactersWithSpaces>5987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CPPBDN5107 Manage contracts for small-scale building design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2025-03-01T17:26:00Z</dcterms:created>
  <dcterms:modified xsi:type="dcterms:W3CDTF">2025-03-01T17:26:00Z</dcterms:modified>
</cp:coreProperties>
</file>