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51D0" w:rsidP="00F351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CPPBDN5106 Determine compliance requirements for Class 2-9 buildings up to two storeys</w:t>
      </w:r>
      <w:r>
        <w:fldChar w:fldCharType="end"/>
      </w:r>
    </w:p>
    <w:p w:rsidR="00F351D0" w:rsidP="00F351D0">
      <w:pPr>
        <w:pStyle w:val="Version"/>
        <w:sectPr w:rsidSect="002353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35331" w:rsidP="00235331">
      <w:pPr>
        <w:pStyle w:val="SuperHeading"/>
      </w:pPr>
      <w:r w:rsidRPr="00235331">
        <w:t>CPPBDN5106 Determine compliance requirements for Class 2-9 buildings up to two storeys</w:t>
      </w:r>
    </w:p>
    <w:p w:rsidR="00000000" w:rsidRPr="00235331" w:rsidP="00235331">
      <w:pPr>
        <w:pStyle w:val="Heading1"/>
      </w:pPr>
      <w:bookmarkStart w:id="1" w:name="O_1164474"/>
      <w:bookmarkEnd w:id="1"/>
      <w:r w:rsidRPr="002353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35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31">
            <w:pPr>
              <w:pStyle w:val="BodyText"/>
              <w:rPr>
                <w:lang w:val="en-NZ"/>
              </w:rPr>
            </w:pPr>
            <w:r w:rsidRPr="00235331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331" w:rsidP="00235331">
            <w:pPr>
              <w:pStyle w:val="BodyText"/>
            </w:pPr>
            <w:r w:rsidRPr="00235331">
              <w:t>This version first released with CPP Property Services Training Package Release 13.1.</w:t>
            </w:r>
          </w:p>
          <w:p w:rsidR="00000000" w:rsidRPr="00235331" w:rsidP="00235331">
            <w:pPr>
              <w:pStyle w:val="BodyText"/>
            </w:pPr>
            <w:r w:rsidRPr="00235331">
              <w:t>Mapping information correct</w:t>
            </w:r>
            <w:r w:rsidRPr="00235331">
              <w:t>ed from supersedes and is not equivalent to CPPBDN5106 - Determine compliance requirements for Class 2-9 buildings up to two storeys  to:</w:t>
            </w:r>
          </w:p>
          <w:p w:rsidR="00000000" w:rsidRPr="00235331" w:rsidP="00235331">
            <w:pPr>
              <w:pStyle w:val="BodyText"/>
            </w:pPr>
            <w:r w:rsidRPr="00235331">
              <w:t>Supersedes and is not equivalent to:</w:t>
            </w:r>
          </w:p>
          <w:p w:rsidR="00000000" w:rsidRPr="00235331" w:rsidP="00235331">
            <w:pPr>
              <w:pStyle w:val="ListBullet"/>
            </w:pPr>
            <w:r w:rsidRPr="00235331">
              <w:t>CPPBDN5003A Research compliance requirements for small-scale residential buildin</w:t>
            </w:r>
            <w:r w:rsidRPr="00235331">
              <w:t>g design projects</w:t>
            </w:r>
          </w:p>
          <w:p w:rsidR="00000000" w:rsidP="00235331">
            <w:pPr>
              <w:pStyle w:val="ListBullet"/>
              <w:rPr>
                <w:lang w:val="en-NZ"/>
              </w:rPr>
            </w:pPr>
            <w:r w:rsidRPr="00235331">
              <w:t>CPPBDN5004A Research compliance requirements for small-scale non-residential building design projects.</w:t>
            </w:r>
          </w:p>
        </w:tc>
      </w:tr>
      <w:tr w:rsidTr="00235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31">
            <w:pPr>
              <w:pStyle w:val="BodyText"/>
              <w:rPr>
                <w:lang w:val="en-NZ"/>
              </w:rPr>
            </w:pPr>
            <w:r w:rsidRPr="0023533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331" w:rsidP="00235331">
            <w:pPr>
              <w:pStyle w:val="BodyText"/>
            </w:pPr>
            <w:r w:rsidRPr="00235331">
              <w:t>This version first released with CPP Property Services Training Package Release 11.0.</w:t>
            </w:r>
          </w:p>
          <w:p w:rsidR="00000000" w:rsidRPr="00235331" w:rsidP="00235331">
            <w:pPr>
              <w:pStyle w:val="BodyText"/>
            </w:pPr>
            <w:r w:rsidRPr="00235331">
              <w:t>Supersedes and is not equivalent to:</w:t>
            </w:r>
          </w:p>
          <w:p w:rsidR="00000000" w:rsidRPr="00235331" w:rsidP="00235331">
            <w:pPr>
              <w:pStyle w:val="ListBullet"/>
            </w:pPr>
            <w:r w:rsidRPr="00235331">
              <w:t>CPPBDN5004A Research compliance requirements for small-scale non-residential building design projects.</w:t>
            </w:r>
          </w:p>
          <w:p w:rsidR="00000000" w:rsidRPr="00235331" w:rsidP="00235331">
            <w:pPr>
              <w:pStyle w:val="ListBullet"/>
            </w:pPr>
            <w:r w:rsidRPr="00235331">
              <w:t>CPPBDN5010A Negotiate and finalise planning approval for small scale building design projects.</w:t>
            </w:r>
          </w:p>
          <w:p w:rsidR="00000000" w:rsidRPr="00235331" w:rsidP="00235331">
            <w:pPr>
              <w:pStyle w:val="BodyText"/>
            </w:pPr>
            <w:r w:rsidRPr="00235331">
              <w:t>Updated to meet the Standards for Training Packages 2012.</w:t>
            </w:r>
          </w:p>
        </w:tc>
      </w:tr>
    </w:tbl>
    <w:p w:rsidR="00F351D0" w:rsidP="00235331">
      <w:pPr>
        <w:pStyle w:val="BodyText"/>
      </w:pPr>
    </w:p>
    <w:p w:rsidR="00F351D0" w:rsidP="00235331">
      <w:pPr>
        <w:pStyle w:val="BodyText"/>
      </w:pPr>
    </w:p>
    <w:p w:rsidR="00000000" w:rsidRPr="00235331" w:rsidP="00235331">
      <w:pPr>
        <w:pStyle w:val="Heading1"/>
      </w:pPr>
      <w:bookmarkStart w:id="2" w:name="O_1164473"/>
      <w:bookmarkEnd w:id="2"/>
      <w:r w:rsidRPr="00235331">
        <w:t>Application</w:t>
      </w:r>
    </w:p>
    <w:p w:rsidR="00000000" w:rsidRPr="00235331" w:rsidP="00F351D0">
      <w:pPr>
        <w:pStyle w:val="BodyText"/>
      </w:pPr>
      <w:r w:rsidRPr="00235331">
        <w:t>This unit specifies the skills and knowledge required to determine compliance requirements for the design of Class 2-9 buildings to a maximum floor area of 2000m</w:t>
      </w:r>
      <w:r w:rsidRPr="00235331">
        <w:rPr>
          <w:rStyle w:val="Superscript"/>
        </w:rPr>
        <w:t>2</w:t>
      </w:r>
      <w:r w:rsidRPr="00235331">
        <w:t>, except construction Type A buildings. The unit includes researching local, state/territory and federal government legislation and regulations relating to planning and building.</w:t>
      </w:r>
    </w:p>
    <w:p w:rsidR="00000000" w:rsidRPr="00235331" w:rsidP="00F351D0">
      <w:pPr>
        <w:pStyle w:val="BodyText"/>
      </w:pPr>
      <w:r w:rsidRPr="00235331">
        <w:t>Building classifications and construction Types are set out in the National C</w:t>
      </w:r>
      <w:r w:rsidRPr="00235331">
        <w:t>onstruction Code (NCC).</w:t>
      </w:r>
    </w:p>
    <w:p w:rsidR="00000000" w:rsidRPr="00235331" w:rsidP="00F351D0">
      <w:pPr>
        <w:pStyle w:val="BodyText"/>
      </w:pPr>
      <w:r w:rsidRPr="00235331">
        <w:t>This unit is suitable for drafters and building designers who apply technical and theoretical knowledge and skills to building design work tasks.</w:t>
      </w:r>
    </w:p>
    <w:p w:rsidR="00000000" w:rsidRPr="00235331" w:rsidP="00F351D0">
      <w:pPr>
        <w:pStyle w:val="BodyText"/>
      </w:pPr>
      <w:r w:rsidRPr="00235331">
        <w:t>This unit forms part of the licensing requirements for people engaged in building desi</w:t>
      </w:r>
      <w:r w:rsidRPr="00235331">
        <w:t>gn in some states and territories. For further information, check with the relevant regulatory authority.</w:t>
      </w:r>
    </w:p>
    <w:p w:rsidR="00000000" w:rsidRPr="00235331" w:rsidP="00235331">
      <w:pPr>
        <w:pStyle w:val="Heading1"/>
      </w:pPr>
      <w:bookmarkStart w:id="3" w:name="O_1164472"/>
      <w:bookmarkEnd w:id="3"/>
      <w:r w:rsidRPr="00235331">
        <w:t>Pre-requisite Unit</w:t>
      </w:r>
    </w:p>
    <w:p w:rsidR="00000000" w:rsidRPr="00235331" w:rsidP="00F351D0">
      <w:pPr>
        <w:pStyle w:val="BodyText"/>
      </w:pPr>
      <w:r w:rsidRPr="00235331">
        <w:t>Nil.</w:t>
      </w:r>
    </w:p>
    <w:p w:rsidR="00000000" w:rsidRPr="00235331" w:rsidP="00235331">
      <w:pPr>
        <w:pStyle w:val="Heading1"/>
      </w:pPr>
      <w:bookmarkStart w:id="4" w:name="O_1164471"/>
      <w:bookmarkEnd w:id="4"/>
      <w:r w:rsidRPr="00235331">
        <w:t>Unit Sector</w:t>
      </w:r>
    </w:p>
    <w:p w:rsidR="00000000" w:rsidRPr="00235331" w:rsidP="00F351D0">
      <w:pPr>
        <w:pStyle w:val="BodyText"/>
      </w:pPr>
      <w:r w:rsidRPr="00235331">
        <w:t>Building Design</w:t>
      </w:r>
    </w:p>
    <w:p w:rsidR="00000000" w:rsidRPr="00235331" w:rsidP="00235331">
      <w:pPr>
        <w:pStyle w:val="Heading1"/>
      </w:pPr>
      <w:bookmarkStart w:id="5" w:name="O_1164470"/>
      <w:bookmarkEnd w:id="5"/>
      <w:r w:rsidRPr="0023533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35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31">
            <w:pPr>
              <w:pStyle w:val="BodyText"/>
              <w:rPr>
                <w:lang w:val="en-NZ"/>
              </w:rPr>
            </w:pPr>
            <w:r w:rsidRPr="00235331">
              <w:t>Element</w:t>
            </w:r>
            <w:r w:rsidRPr="00235331">
              <w:t>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31">
            <w:pPr>
              <w:pStyle w:val="BodyText"/>
              <w:rPr>
                <w:lang w:val="en-NZ"/>
              </w:rPr>
            </w:pPr>
            <w:r w:rsidRPr="00235331">
              <w:t>Performance criteria describe what needs to be done to demonstrate achievement of the element.</w:t>
            </w:r>
          </w:p>
        </w:tc>
      </w:tr>
      <w:tr w:rsidTr="00235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31">
            <w:pPr>
              <w:pStyle w:val="BodyText"/>
              <w:rPr>
                <w:lang w:val="en-NZ"/>
              </w:rPr>
            </w:pPr>
            <w:r w:rsidRPr="0023533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31">
            <w:pPr>
              <w:pStyle w:val="BodyText"/>
              <w:rPr>
                <w:lang w:val="en-NZ"/>
              </w:rPr>
            </w:pPr>
            <w:r w:rsidRPr="00235331">
              <w:t>Research applicable legislation.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31">
            <w:pPr>
              <w:pStyle w:val="BodyText"/>
              <w:rPr>
                <w:lang w:val="en-NZ"/>
              </w:rPr>
            </w:pPr>
            <w:r w:rsidRPr="0023533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31">
            <w:pPr>
              <w:pStyle w:val="BodyText"/>
              <w:rPr>
                <w:lang w:val="en-NZ"/>
              </w:rPr>
            </w:pPr>
            <w:r w:rsidRPr="00235331">
              <w:t>Determine legislative requirements for the design of Class 2-9 buildings of Type B and C construction.</w:t>
            </w:r>
          </w:p>
        </w:tc>
      </w:tr>
      <w:tr w:rsidTr="00235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31">
            <w:pPr>
              <w:pStyle w:val="BodyText"/>
              <w:rPr>
                <w:lang w:val="en-NZ"/>
              </w:rPr>
            </w:pPr>
            <w:r w:rsidRPr="0023533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31">
            <w:pPr>
              <w:pStyle w:val="BodyText"/>
              <w:rPr>
                <w:lang w:val="en-NZ"/>
              </w:rPr>
            </w:pPr>
            <w:r w:rsidRPr="00235331">
              <w:t>Identify design impacts of applicable legislation.</w:t>
            </w:r>
          </w:p>
        </w:tc>
      </w:tr>
      <w:tr w:rsidTr="00235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31">
            <w:pPr>
              <w:pStyle w:val="BodyText"/>
              <w:rPr>
                <w:lang w:val="en-NZ"/>
              </w:rPr>
            </w:pPr>
          </w:p>
        </w:tc>
      </w:tr>
      <w:tr w:rsidTr="00235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31">
            <w:pPr>
              <w:pStyle w:val="BodyText"/>
              <w:rPr>
                <w:lang w:val="en-NZ"/>
              </w:rPr>
            </w:pPr>
            <w:r w:rsidRPr="0023533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31">
            <w:pPr>
              <w:pStyle w:val="BodyText"/>
              <w:rPr>
                <w:lang w:val="en-NZ"/>
              </w:rPr>
            </w:pPr>
            <w:r w:rsidRPr="00235331">
              <w:t>Research applicable planning and building regulations.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31">
            <w:pPr>
              <w:pStyle w:val="BodyText"/>
              <w:rPr>
                <w:lang w:val="en-NZ"/>
              </w:rPr>
            </w:pPr>
            <w:r w:rsidRPr="0023533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31">
            <w:pPr>
              <w:pStyle w:val="BodyText"/>
              <w:rPr>
                <w:lang w:val="en-NZ"/>
              </w:rPr>
            </w:pPr>
            <w:r w:rsidRPr="00235331">
              <w:t>Identify intended use of building.</w:t>
            </w:r>
          </w:p>
        </w:tc>
      </w:tr>
      <w:tr w:rsidTr="00235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31">
            <w:pPr>
              <w:pStyle w:val="BodyText"/>
              <w:rPr>
                <w:lang w:val="en-NZ"/>
              </w:rPr>
            </w:pPr>
            <w:r w:rsidRPr="0023533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31">
            <w:pPr>
              <w:pStyle w:val="BodyText"/>
              <w:rPr>
                <w:lang w:val="en-NZ"/>
              </w:rPr>
            </w:pPr>
            <w:r w:rsidRPr="00235331">
              <w:t>Determine nature of building to confirm building class and construction Type according to NCC.</w:t>
            </w:r>
          </w:p>
        </w:tc>
      </w:tr>
      <w:tr w:rsidTr="00235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31">
            <w:pPr>
              <w:pStyle w:val="BodyText"/>
              <w:rPr>
                <w:lang w:val="en-NZ"/>
              </w:rPr>
            </w:pPr>
            <w:r w:rsidRPr="0023533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31">
            <w:pPr>
              <w:pStyle w:val="BodyText"/>
              <w:rPr>
                <w:lang w:val="en-NZ"/>
              </w:rPr>
            </w:pPr>
            <w:r w:rsidRPr="00235331">
              <w:t>Interpret local planning schemes, regulations, codes and standards affecting design compliance.</w:t>
            </w:r>
          </w:p>
        </w:tc>
      </w:tr>
      <w:tr w:rsidTr="00235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31">
            <w:pPr>
              <w:pStyle w:val="BodyText"/>
              <w:rPr>
                <w:lang w:val="en-NZ"/>
              </w:rPr>
            </w:pPr>
            <w:r w:rsidRPr="00235331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31">
            <w:pPr>
              <w:pStyle w:val="BodyText"/>
              <w:rPr>
                <w:lang w:val="en-NZ"/>
              </w:rPr>
            </w:pPr>
            <w:r w:rsidRPr="00235331">
              <w:t>Identify variations in requirements for project location and conditions.</w:t>
            </w:r>
          </w:p>
        </w:tc>
      </w:tr>
      <w:tr w:rsidTr="00235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31">
            <w:pPr>
              <w:pStyle w:val="BodyText"/>
              <w:rPr>
                <w:lang w:val="en-NZ"/>
              </w:rPr>
            </w:pPr>
            <w:r w:rsidRPr="00235331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31">
            <w:pPr>
              <w:pStyle w:val="BodyText"/>
              <w:rPr>
                <w:lang w:val="en-NZ"/>
              </w:rPr>
            </w:pPr>
            <w:r w:rsidRPr="00235331">
              <w:t>Confirm currency and relevance of referenced codes, standards and regulations.</w:t>
            </w:r>
          </w:p>
        </w:tc>
      </w:tr>
      <w:tr w:rsidTr="00235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31">
            <w:pPr>
              <w:pStyle w:val="BodyText"/>
              <w:rPr>
                <w:lang w:val="en-NZ"/>
              </w:rPr>
            </w:pPr>
          </w:p>
        </w:tc>
      </w:tr>
      <w:tr w:rsidTr="00235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31">
            <w:pPr>
              <w:pStyle w:val="BodyText"/>
              <w:rPr>
                <w:lang w:val="en-NZ"/>
              </w:rPr>
            </w:pPr>
            <w:r w:rsidRPr="0023533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31">
            <w:pPr>
              <w:pStyle w:val="BodyText"/>
              <w:rPr>
                <w:lang w:val="en-NZ"/>
              </w:rPr>
            </w:pPr>
            <w:r w:rsidRPr="00235331">
              <w:t>Review building design for compliance with performance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31">
            <w:pPr>
              <w:pStyle w:val="BodyText"/>
              <w:rPr>
                <w:lang w:val="en-NZ"/>
              </w:rPr>
            </w:pPr>
            <w:r w:rsidRPr="0023533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31">
            <w:pPr>
              <w:pStyle w:val="BodyText"/>
              <w:rPr>
                <w:lang w:val="en-NZ"/>
              </w:rPr>
            </w:pPr>
            <w:r w:rsidRPr="00235331">
              <w:t>Clarify ambiguous or conflicting compliance requirements and determine areas requiring specialist design input.</w:t>
            </w:r>
          </w:p>
        </w:tc>
      </w:tr>
      <w:tr w:rsidTr="00235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31">
            <w:pPr>
              <w:pStyle w:val="BodyText"/>
              <w:rPr>
                <w:lang w:val="en-NZ"/>
              </w:rPr>
            </w:pPr>
            <w:r w:rsidRPr="0023533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31">
            <w:pPr>
              <w:pStyle w:val="BodyText"/>
              <w:rPr>
                <w:lang w:val="en-NZ"/>
              </w:rPr>
            </w:pPr>
            <w:r w:rsidRPr="00235331">
              <w:t>Identify relevant professionals that may be required to confirm compliance requirements.</w:t>
            </w:r>
          </w:p>
        </w:tc>
      </w:tr>
      <w:tr w:rsidTr="00235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31">
            <w:pPr>
              <w:pStyle w:val="BodyText"/>
              <w:rPr>
                <w:lang w:val="en-NZ"/>
              </w:rPr>
            </w:pPr>
            <w:r w:rsidRPr="0023533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31">
            <w:pPr>
              <w:pStyle w:val="BodyText"/>
              <w:rPr>
                <w:lang w:val="en-NZ"/>
              </w:rPr>
            </w:pPr>
            <w:r w:rsidRPr="00235331">
              <w:t>Identify requirements for supporting expert documentation.</w:t>
            </w:r>
          </w:p>
        </w:tc>
      </w:tr>
      <w:tr w:rsidTr="00235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31">
            <w:pPr>
              <w:pStyle w:val="BodyText"/>
              <w:rPr>
                <w:lang w:val="en-NZ"/>
              </w:rPr>
            </w:pPr>
            <w:r w:rsidRPr="00235331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31">
            <w:pPr>
              <w:pStyle w:val="BodyText"/>
              <w:rPr>
                <w:lang w:val="en-NZ"/>
              </w:rPr>
            </w:pPr>
            <w:r w:rsidRPr="00235331">
              <w:t xml:space="preserve">Check building design against deemed-to-satisfy (DTS) provisions to identify required performance-based </w:t>
            </w:r>
            <w:r w:rsidRPr="00235331">
              <w:t xml:space="preserve">solutions. </w:t>
            </w:r>
          </w:p>
        </w:tc>
      </w:tr>
      <w:tr w:rsidTr="00235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31">
            <w:pPr>
              <w:pStyle w:val="BodyText"/>
              <w:rPr>
                <w:lang w:val="en-NZ"/>
              </w:rPr>
            </w:pPr>
            <w:r w:rsidRPr="00235331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331" w:rsidP="00235331">
            <w:pPr>
              <w:pStyle w:val="BodyText"/>
            </w:pPr>
            <w:r w:rsidRPr="00235331">
              <w:t>Determine documentation requirements for a required performance-based solution.</w:t>
            </w:r>
          </w:p>
        </w:tc>
      </w:tr>
    </w:tbl>
    <w:p w:rsidR="00000000" w:rsidRPr="00235331" w:rsidP="00235331">
      <w:pPr>
        <w:pStyle w:val="BodyText"/>
      </w:pPr>
    </w:p>
    <w:p w:rsidR="00000000" w:rsidRPr="00235331" w:rsidP="00235331">
      <w:pPr>
        <w:pStyle w:val="AllowPageBreak"/>
      </w:pPr>
    </w:p>
    <w:p w:rsidR="00000000" w:rsidRPr="00235331" w:rsidP="00235331">
      <w:pPr>
        <w:pStyle w:val="Heading1"/>
      </w:pPr>
      <w:bookmarkStart w:id="6" w:name="O_1164469"/>
      <w:bookmarkEnd w:id="6"/>
      <w:r w:rsidRPr="00235331">
        <w:t>Foundation Skills</w:t>
      </w:r>
    </w:p>
    <w:p w:rsidR="00000000" w:rsidRPr="00235331" w:rsidP="00F351D0">
      <w:pPr>
        <w:pStyle w:val="BodyText"/>
      </w:pPr>
      <w:r w:rsidRPr="00235331">
        <w:t>As well as the foundation skills explicit in the performance criteria of this unit, candidates require:</w:t>
      </w:r>
    </w:p>
    <w:p w:rsidR="00000000" w:rsidRPr="00235331" w:rsidP="00235331">
      <w:pPr>
        <w:pStyle w:val="ListBullet"/>
      </w:pPr>
      <w:r w:rsidRPr="00235331">
        <w:t>reading skills to:</w:t>
      </w:r>
    </w:p>
    <w:p w:rsidR="00000000" w:rsidRPr="00235331" w:rsidP="00235331">
      <w:pPr>
        <w:pStyle w:val="ListBullet2"/>
      </w:pPr>
      <w:r w:rsidRPr="00235331">
        <w:t>research and</w:t>
      </w:r>
      <w:r w:rsidRPr="00235331">
        <w:t xml:space="preserve"> analyse compliance requirements from different sources</w:t>
      </w:r>
    </w:p>
    <w:p w:rsidR="00000000" w:rsidRPr="00235331" w:rsidP="00235331">
      <w:pPr>
        <w:pStyle w:val="ListBullet2"/>
      </w:pPr>
      <w:r w:rsidRPr="00235331">
        <w:t>interpret and apply complex technical information in legislation, regulations, codes and standards.</w:t>
      </w:r>
    </w:p>
    <w:p w:rsidR="00000000" w:rsidRPr="00235331" w:rsidP="00235331">
      <w:pPr>
        <w:pStyle w:val="AllowPageBreak"/>
      </w:pPr>
    </w:p>
    <w:p w:rsidR="00000000" w:rsidRPr="00235331" w:rsidP="00235331">
      <w:pPr>
        <w:pStyle w:val="Heading1"/>
      </w:pPr>
      <w:bookmarkStart w:id="7" w:name="O_1164468"/>
      <w:bookmarkEnd w:id="7"/>
      <w:r w:rsidRPr="00235331">
        <w:t>Unit Mapping Information</w:t>
      </w:r>
    </w:p>
    <w:p w:rsidR="00000000" w:rsidRPr="00235331" w:rsidP="00F351D0">
      <w:pPr>
        <w:pStyle w:val="BodyText"/>
      </w:pPr>
      <w:r w:rsidRPr="00235331">
        <w:t>Supersedes and is not equivalent to:</w:t>
      </w:r>
    </w:p>
    <w:p w:rsidR="00000000" w:rsidRPr="00235331" w:rsidP="00235331">
      <w:pPr>
        <w:pStyle w:val="ListBullet"/>
      </w:pPr>
      <w:r w:rsidRPr="00235331">
        <w:t>CPPBDN5003A Research compliance requirements for small-scale residential building design projects</w:t>
      </w:r>
    </w:p>
    <w:p w:rsidR="00000000" w:rsidRPr="00235331" w:rsidP="00235331">
      <w:pPr>
        <w:pStyle w:val="ListBullet"/>
      </w:pPr>
      <w:r w:rsidRPr="00235331">
        <w:t>CPPBDN5004A Research compliance requirements for small-scale non-residential building design projects.</w:t>
      </w:r>
    </w:p>
    <w:p w:rsidR="00000000" w:rsidRPr="00235331" w:rsidP="00235331">
      <w:pPr>
        <w:pStyle w:val="AllowPageBreak"/>
      </w:pPr>
    </w:p>
    <w:p w:rsidR="00000000" w:rsidRPr="00235331" w:rsidP="00235331">
      <w:pPr>
        <w:pStyle w:val="Heading1"/>
      </w:pPr>
      <w:bookmarkStart w:id="8" w:name="O_1164475"/>
      <w:bookmarkEnd w:id="8"/>
      <w:r w:rsidRPr="00235331">
        <w:t>Links</w:t>
      </w:r>
    </w:p>
    <w:p w:rsidR="00000000" w:rsidRPr="00235331" w:rsidP="00F351D0">
      <w:pPr>
        <w:pStyle w:val="BodyText"/>
      </w:pPr>
      <w:r w:rsidRPr="00235331">
        <w:t>Companion volumes to this trai</w:t>
      </w:r>
      <w:r w:rsidRPr="00235331">
        <w:t xml:space="preserve">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F216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35331" w:rsidP="00235331"/>
    <w:sectPr w:rsidSect="002353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3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331" w:rsidRPr="00F351D0" w:rsidP="00F351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3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1D0" w:rsidP="002353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51D0" w:rsidP="002353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351D0" w:rsidP="002353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3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1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5331" w:rsidRPr="00F351D0" w:rsidP="00F351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3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1D0" w:rsidRPr="002D2AF8" w:rsidP="002353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CPPBDN5106 Determine compliance requirements for Class 2-9 buildings up to two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F351D0" w:rsidP="002353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F262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745D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56B4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3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53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53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53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53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53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53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53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53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53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53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5331"/>
  </w:style>
  <w:style w:type="character" w:customStyle="1" w:styleId="Heading1Char">
    <w:name w:val="Heading 1 Char"/>
    <w:basedOn w:val="DefaultParagraphFont"/>
    <w:link w:val="Heading1"/>
    <w:rsid w:val="002353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53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53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533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353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53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53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235331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2353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53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53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53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53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53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53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53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53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53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53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53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53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53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53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53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53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53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53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53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5331"/>
    <w:rPr>
      <w:b/>
      <w:spacing w:val="0"/>
    </w:rPr>
  </w:style>
  <w:style w:type="paragraph" w:customStyle="1" w:styleId="SuperTitle">
    <w:name w:val="SuperTitle"/>
    <w:basedOn w:val="Title"/>
    <w:rsid w:val="002353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53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53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53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53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53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53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53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53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53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53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53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5331"/>
    <w:rPr>
      <w:i/>
    </w:rPr>
  </w:style>
  <w:style w:type="paragraph" w:styleId="Caption">
    <w:name w:val="caption"/>
    <w:basedOn w:val="BodyText"/>
    <w:next w:val="Normal"/>
    <w:qFormat/>
    <w:rsid w:val="002353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53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53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5331"/>
  </w:style>
  <w:style w:type="paragraph" w:styleId="TableofFigures">
    <w:name w:val="table of figures"/>
    <w:basedOn w:val="Normal"/>
    <w:next w:val="Normal"/>
    <w:semiHidden/>
    <w:rsid w:val="002353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53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5331"/>
    <w:rPr>
      <w:rFonts w:ascii="Wingdings" w:hAnsi="Wingdings"/>
    </w:rPr>
  </w:style>
  <w:style w:type="paragraph" w:customStyle="1" w:styleId="TableHeading">
    <w:name w:val="Table Heading"/>
    <w:basedOn w:val="HeadingBase"/>
    <w:rsid w:val="002353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5331"/>
    <w:rPr>
      <w:color w:val="0033CC"/>
      <w:u w:val="none"/>
    </w:rPr>
  </w:style>
  <w:style w:type="paragraph" w:customStyle="1" w:styleId="BodyTextRight">
    <w:name w:val="Body Text Right"/>
    <w:basedOn w:val="BodyText"/>
    <w:rsid w:val="002353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53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53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53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53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53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5331"/>
    <w:rPr>
      <w:sz w:val="32"/>
    </w:rPr>
  </w:style>
  <w:style w:type="paragraph" w:customStyle="1" w:styleId="HeadingProcedure">
    <w:name w:val="Heading Procedure"/>
    <w:basedOn w:val="HeadingBase"/>
    <w:next w:val="Normal"/>
    <w:rsid w:val="002353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5331"/>
    <w:pPr>
      <w:spacing w:before="60" w:after="60"/>
    </w:pPr>
  </w:style>
  <w:style w:type="paragraph" w:styleId="ListContinue">
    <w:name w:val="List Continue"/>
    <w:basedOn w:val="List"/>
    <w:rsid w:val="00235331"/>
    <w:pPr>
      <w:ind w:firstLine="0"/>
    </w:pPr>
  </w:style>
  <w:style w:type="paragraph" w:customStyle="1" w:styleId="ListNote">
    <w:name w:val="List Note"/>
    <w:basedOn w:val="List"/>
    <w:rsid w:val="002353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53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53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5331"/>
    <w:rPr>
      <w:rFonts w:ascii="Courier New" w:hAnsi="Courier New"/>
    </w:rPr>
  </w:style>
  <w:style w:type="paragraph" w:customStyle="1" w:styleId="NoteBullet">
    <w:name w:val="Note Bullet"/>
    <w:basedOn w:val="Note"/>
    <w:rsid w:val="002353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53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53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53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53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53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53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5331"/>
    <w:rPr>
      <w:b/>
      <w:smallCaps/>
    </w:rPr>
  </w:style>
  <w:style w:type="paragraph" w:customStyle="1" w:styleId="TableListNumber">
    <w:name w:val="Table List Number"/>
    <w:basedOn w:val="ListNumber"/>
    <w:rsid w:val="002353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53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5331"/>
    <w:pPr>
      <w:numPr>
        <w:numId w:val="9"/>
      </w:numPr>
    </w:pPr>
  </w:style>
  <w:style w:type="paragraph" w:customStyle="1" w:styleId="ListAlpha2">
    <w:name w:val="List Alpha 2"/>
    <w:basedOn w:val="List2"/>
    <w:rsid w:val="00235331"/>
    <w:pPr>
      <w:numPr>
        <w:numId w:val="8"/>
      </w:numPr>
    </w:pPr>
  </w:style>
  <w:style w:type="paragraph" w:styleId="List2">
    <w:name w:val="List 2"/>
    <w:basedOn w:val="BodyText"/>
    <w:rsid w:val="002353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53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53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53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53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53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5331"/>
    <w:pPr>
      <w:numPr>
        <w:numId w:val="4"/>
      </w:numPr>
    </w:pPr>
  </w:style>
  <w:style w:type="paragraph" w:styleId="ListContinue2">
    <w:name w:val="List Continue 2"/>
    <w:basedOn w:val="List2"/>
    <w:rsid w:val="00235331"/>
    <w:pPr>
      <w:ind w:firstLine="0"/>
    </w:pPr>
  </w:style>
  <w:style w:type="paragraph" w:styleId="ListContinue3">
    <w:name w:val="List Continue 3"/>
    <w:basedOn w:val="List3"/>
    <w:rsid w:val="00235331"/>
    <w:pPr>
      <w:ind w:left="1021" w:firstLine="0"/>
    </w:pPr>
  </w:style>
  <w:style w:type="paragraph" w:styleId="ListContinue4">
    <w:name w:val="List Continue 4"/>
    <w:basedOn w:val="List4"/>
    <w:rsid w:val="00235331"/>
    <w:pPr>
      <w:ind w:firstLine="0"/>
    </w:pPr>
  </w:style>
  <w:style w:type="paragraph" w:styleId="ListContinue5">
    <w:name w:val="List Continue 5"/>
    <w:basedOn w:val="List5"/>
    <w:rsid w:val="00235331"/>
    <w:pPr>
      <w:ind w:firstLine="0"/>
    </w:pPr>
  </w:style>
  <w:style w:type="paragraph" w:styleId="ListNumber3">
    <w:name w:val="List Number 3"/>
    <w:basedOn w:val="List3"/>
    <w:rsid w:val="00235331"/>
    <w:pPr>
      <w:numPr>
        <w:numId w:val="5"/>
      </w:numPr>
    </w:pPr>
  </w:style>
  <w:style w:type="paragraph" w:styleId="ListNumber4">
    <w:name w:val="List Number 4"/>
    <w:basedOn w:val="List4"/>
    <w:rsid w:val="00235331"/>
    <w:pPr>
      <w:numPr>
        <w:numId w:val="6"/>
      </w:numPr>
    </w:pPr>
  </w:style>
  <w:style w:type="paragraph" w:styleId="ListNumber5">
    <w:name w:val="List Number 5"/>
    <w:basedOn w:val="List5"/>
    <w:rsid w:val="00235331"/>
    <w:pPr>
      <w:numPr>
        <w:numId w:val="7"/>
      </w:numPr>
    </w:pPr>
  </w:style>
  <w:style w:type="paragraph" w:styleId="BlockText">
    <w:name w:val="Block Text"/>
    <w:basedOn w:val="Normal"/>
    <w:rsid w:val="002353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5331"/>
    <w:rPr>
      <w:sz w:val="16"/>
      <w:vertAlign w:val="subscript"/>
    </w:rPr>
  </w:style>
  <w:style w:type="character" w:customStyle="1" w:styleId="Symbols">
    <w:name w:val="Symbols"/>
    <w:basedOn w:val="DefaultParagraphFont"/>
    <w:rsid w:val="00235331"/>
    <w:rPr>
      <w:rFonts w:ascii="Symbol" w:hAnsi="Symbol"/>
    </w:rPr>
  </w:style>
  <w:style w:type="character" w:customStyle="1" w:styleId="MenuOptions">
    <w:name w:val="Menu Options"/>
    <w:basedOn w:val="DefaultParagraphFont"/>
    <w:rsid w:val="002353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5331"/>
    <w:rPr>
      <w:b/>
    </w:rPr>
  </w:style>
  <w:style w:type="character" w:customStyle="1" w:styleId="Underlined">
    <w:name w:val="Underlined"/>
    <w:basedOn w:val="DefaultParagraphFont"/>
    <w:rsid w:val="00235331"/>
    <w:rPr>
      <w:u w:val="single"/>
    </w:rPr>
  </w:style>
  <w:style w:type="paragraph" w:customStyle="1" w:styleId="TableBodyTextRight">
    <w:name w:val="Table Body Text Right"/>
    <w:basedOn w:val="TableBodyText"/>
    <w:rsid w:val="002353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5331"/>
    <w:rPr>
      <w:sz w:val="18"/>
    </w:rPr>
  </w:style>
  <w:style w:type="paragraph" w:customStyle="1" w:styleId="BodySmallRight">
    <w:name w:val="Body Small Right"/>
    <w:basedOn w:val="BodyTextRight"/>
    <w:rsid w:val="00235331"/>
    <w:rPr>
      <w:sz w:val="18"/>
      <w:szCs w:val="18"/>
    </w:rPr>
  </w:style>
  <w:style w:type="paragraph" w:customStyle="1" w:styleId="MarginEdition">
    <w:name w:val="Margin Edition"/>
    <w:basedOn w:val="MarginNote"/>
    <w:rsid w:val="002353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5331"/>
    <w:rPr>
      <w:sz w:val="2"/>
      <w:szCs w:val="2"/>
    </w:rPr>
  </w:style>
  <w:style w:type="character" w:customStyle="1" w:styleId="Small">
    <w:name w:val="Small"/>
    <w:basedOn w:val="DefaultParagraphFont"/>
    <w:rsid w:val="00235331"/>
    <w:rPr>
      <w:sz w:val="16"/>
    </w:rPr>
  </w:style>
  <w:style w:type="paragraph" w:customStyle="1" w:styleId="WideTable">
    <w:name w:val="Wide Table"/>
    <w:basedOn w:val="Normal"/>
    <w:rsid w:val="002353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5331"/>
  </w:style>
  <w:style w:type="paragraph" w:styleId="Quote">
    <w:name w:val="Quote"/>
    <w:basedOn w:val="Heading1"/>
    <w:link w:val="QuoteChar"/>
    <w:qFormat/>
    <w:rsid w:val="002353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53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5331"/>
    <w:pPr>
      <w:pageBreakBefore/>
    </w:pPr>
  </w:style>
  <w:style w:type="paragraph" w:customStyle="1" w:styleId="Border">
    <w:name w:val="Border"/>
    <w:basedOn w:val="Normal"/>
    <w:qFormat/>
    <w:rsid w:val="002353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53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3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3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53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53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53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53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53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5331"/>
    <w:rPr>
      <w:u w:val="single"/>
    </w:rPr>
  </w:style>
  <w:style w:type="character" w:customStyle="1" w:styleId="BoldandItalics">
    <w:name w:val="Bold and Italics"/>
    <w:qFormat/>
    <w:rsid w:val="00235331"/>
    <w:rPr>
      <w:b/>
      <w:i/>
      <w:u w:val="none"/>
    </w:rPr>
  </w:style>
  <w:style w:type="paragraph" w:styleId="BalloonText">
    <w:name w:val="Balloon Text"/>
    <w:basedOn w:val="Normal"/>
    <w:link w:val="BalloonTextChar"/>
    <w:rsid w:val="002353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53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53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53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53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53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5331"/>
    <w:pPr>
      <w:spacing w:before="0" w:after="0"/>
    </w:pPr>
  </w:style>
  <w:style w:type="paragraph" w:customStyle="1" w:styleId="BodyTextBold">
    <w:name w:val="Body Text Bold"/>
    <w:basedOn w:val="BodyText"/>
    <w:qFormat/>
    <w:rsid w:val="00235331"/>
    <w:rPr>
      <w:b/>
    </w:rPr>
  </w:style>
  <w:style w:type="character" w:styleId="Hyperlink">
    <w:name w:val="Hyperlink"/>
    <w:basedOn w:val="DefaultParagraphFont"/>
    <w:uiPriority w:val="99"/>
    <w:unhideWhenUsed/>
    <w:rsid w:val="00F351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551</Words>
  <Characters>3715</Characters>
  <Application>Microsoft Office Word</Application>
  <DocSecurity>0</DocSecurity>
  <Lines>154</Lines>
  <Paragraphs>82</Paragraphs>
  <ScaleCrop>false</ScaleCrop>
  <Company>Author-it Software Corporation Ltd.</Company>
  <LinksUpToDate>false</LinksUpToDate>
  <CharactersWithSpaces>4184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CPPBDN5106 Determine compliance requirements for Class 2-9 buildings up to two storeys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2022-12-19T06:14:00Z</dcterms:created>
  <dcterms:modified xsi:type="dcterms:W3CDTF">2022-12-19T06:14:00Z</dcterms:modified>
</cp:coreProperties>
</file>