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1C87" w:rsidP="00971C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CPPBDN5106 Determine compliance requirements for Class 2-9 buildings up to two storeys</w:t>
      </w:r>
      <w:r>
        <w:fldChar w:fldCharType="end"/>
      </w:r>
    </w:p>
    <w:p w:rsidR="00971C87" w:rsidP="00971C87">
      <w:pPr>
        <w:pStyle w:val="Version"/>
        <w:sectPr w:rsidSect="00A75B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5B10" w:rsidP="00A75B10">
      <w:pPr>
        <w:pStyle w:val="SuperHeading"/>
      </w:pPr>
      <w:r w:rsidRPr="00A75B10">
        <w:t>CPPBDN5106 Determine compliance requirements for Class 2-9 buildings up to two storeys</w:t>
      </w:r>
    </w:p>
    <w:p w:rsidR="00000000" w:rsidRPr="00A75B10" w:rsidP="00A75B10">
      <w:pPr>
        <w:pStyle w:val="Heading1"/>
      </w:pPr>
      <w:bookmarkStart w:id="1" w:name="O_1164474"/>
      <w:bookmarkEnd w:id="1"/>
      <w:r w:rsidRPr="00A75B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75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10" w:rsidP="00A75B10">
            <w:pPr>
              <w:pStyle w:val="BodyText"/>
            </w:pPr>
            <w:r w:rsidRPr="00A75B10">
              <w:t>This version first released with CPP Property Services Training Package Release 13.1.</w:t>
            </w:r>
          </w:p>
          <w:p w:rsidR="00000000" w:rsidRPr="00A75B10" w:rsidP="00A75B10">
            <w:pPr>
              <w:pStyle w:val="BodyText"/>
            </w:pPr>
            <w:r w:rsidRPr="00A75B10">
              <w:t>Mapping information corrected from supersedes and is not equivalent to CPPBDN5106 - Determine compliance requirements for Class 2-9 buildings up to two storeys  to:</w:t>
            </w:r>
          </w:p>
          <w:p w:rsidR="00000000" w:rsidRPr="00A75B10" w:rsidP="00A75B10">
            <w:pPr>
              <w:pStyle w:val="BodyText"/>
            </w:pPr>
            <w:r w:rsidRPr="00A75B10">
              <w:t>Supersedes and is not equivalent to:</w:t>
            </w:r>
          </w:p>
          <w:p w:rsidR="00000000" w:rsidRPr="00A75B10" w:rsidP="00A75B10">
            <w:pPr>
              <w:pStyle w:val="ListBullet"/>
            </w:pPr>
            <w:r w:rsidRPr="00A75B10">
              <w:t>CPPBDN5003A Research compliance requirements for smal</w:t>
            </w:r>
            <w:r w:rsidRPr="00A75B10">
              <w:t>l-scale residential building design projects</w:t>
            </w:r>
          </w:p>
          <w:p w:rsidR="00000000" w:rsidP="00A75B10">
            <w:pPr>
              <w:pStyle w:val="ListBullet"/>
              <w:rPr>
                <w:lang w:val="en-NZ"/>
              </w:rPr>
            </w:pPr>
            <w:r w:rsidRPr="00A75B10">
              <w:t>CPPBDN5004A Research compliance requirements for small-scale non-residential building design projects.</w:t>
            </w:r>
          </w:p>
        </w:tc>
      </w:tr>
      <w:tr w:rsidTr="00A75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10" w:rsidP="00A75B10">
            <w:pPr>
              <w:pStyle w:val="BodyText"/>
            </w:pPr>
            <w:r w:rsidRPr="00A75B10">
              <w:t>This version first released with CPP Property Services Training Package Release 11.0.</w:t>
            </w:r>
          </w:p>
          <w:p w:rsidR="00000000" w:rsidRPr="00A75B10" w:rsidP="00A75B10">
            <w:pPr>
              <w:pStyle w:val="BodyText"/>
            </w:pPr>
            <w:r w:rsidRPr="00A75B10">
              <w:t xml:space="preserve">Supersedes </w:t>
            </w:r>
            <w:r w:rsidRPr="00A75B10">
              <w:t>and is not equivalent to:</w:t>
            </w:r>
          </w:p>
          <w:p w:rsidR="00000000" w:rsidRPr="00A75B10" w:rsidP="00A75B10">
            <w:pPr>
              <w:pStyle w:val="ListBullet"/>
            </w:pPr>
            <w:r w:rsidRPr="00A75B10">
              <w:t>CPPBDN5004A Research compliance requirements for small-scale non-residential building design projects.</w:t>
            </w:r>
          </w:p>
          <w:p w:rsidR="00000000" w:rsidRPr="00A75B10" w:rsidP="00A75B10">
            <w:pPr>
              <w:pStyle w:val="ListBullet"/>
            </w:pPr>
            <w:r w:rsidRPr="00A75B10">
              <w:t>CPPBDN5010A Negotiate and finalise planning approval for small scale building design projects.</w:t>
            </w:r>
          </w:p>
          <w:p w:rsidR="00000000" w:rsidRPr="00A75B10" w:rsidP="00A75B10">
            <w:pPr>
              <w:pStyle w:val="BodyText"/>
            </w:pPr>
            <w:r w:rsidRPr="00A75B10">
              <w:t>Updated to meet the Standards for Training Packages 2012.</w:t>
            </w:r>
          </w:p>
        </w:tc>
      </w:tr>
    </w:tbl>
    <w:p w:rsidR="00971C87" w:rsidP="00A75B10">
      <w:pPr>
        <w:pStyle w:val="BodyText"/>
      </w:pPr>
    </w:p>
    <w:p w:rsidR="00971C87" w:rsidP="00A75B10">
      <w:pPr>
        <w:pStyle w:val="BodyText"/>
      </w:pPr>
    </w:p>
    <w:p w:rsidR="00000000" w:rsidRPr="00A75B10" w:rsidP="00A75B10">
      <w:pPr>
        <w:pStyle w:val="Heading1"/>
      </w:pPr>
      <w:bookmarkStart w:id="2" w:name="O_1164473"/>
      <w:bookmarkEnd w:id="2"/>
      <w:r w:rsidRPr="00A75B10">
        <w:t>Application</w:t>
      </w:r>
    </w:p>
    <w:p w:rsidR="00000000" w:rsidRPr="00A75B10" w:rsidP="00971C87">
      <w:pPr>
        <w:pStyle w:val="BodyText"/>
      </w:pPr>
      <w:r w:rsidRPr="00A75B10">
        <w:t>This unit specifies the skills and knowledge required to determine compliance requirements for the design of Class 2-9 buildings to a maximum floor area of 2000m</w:t>
      </w:r>
      <w:r w:rsidRPr="00A75B10">
        <w:rPr>
          <w:rStyle w:val="Superscript"/>
        </w:rPr>
        <w:t>2</w:t>
      </w:r>
      <w:r w:rsidRPr="00A75B10">
        <w:t xml:space="preserve">, </w:t>
      </w:r>
      <w:r w:rsidRPr="00A75B10">
        <w:t>except construction Type A buildings. The unit includes researching local, state/territory and federal government legislation and regulations relating to planning and building.</w:t>
      </w:r>
    </w:p>
    <w:p w:rsidR="00000000" w:rsidRPr="00A75B10" w:rsidP="00971C87">
      <w:pPr>
        <w:pStyle w:val="BodyText"/>
      </w:pPr>
      <w:r w:rsidRPr="00A75B10">
        <w:t>Building classifications and construction Types are set out in the National Con</w:t>
      </w:r>
      <w:r w:rsidRPr="00A75B10">
        <w:t>struction Code (NCC).</w:t>
      </w:r>
    </w:p>
    <w:p w:rsidR="00000000" w:rsidRPr="00A75B10" w:rsidP="00971C87">
      <w:pPr>
        <w:pStyle w:val="BodyText"/>
      </w:pPr>
      <w:r w:rsidRPr="00A75B10">
        <w:t>This unit is suitable for drafters and building designers who apply technical and theoretical knowledge and skills to building design work tasks.</w:t>
      </w:r>
    </w:p>
    <w:p w:rsidR="00000000" w:rsidRPr="00A75B10" w:rsidP="00971C87">
      <w:pPr>
        <w:pStyle w:val="BodyText"/>
      </w:pPr>
      <w:r w:rsidRPr="00A75B10">
        <w:t>This unit forms part of the licensing requirements for people engaged in building design</w:t>
      </w:r>
      <w:r w:rsidRPr="00A75B10">
        <w:t xml:space="preserve"> in some states and territories. For further information, check with the relevant regulatory authority.</w:t>
      </w:r>
    </w:p>
    <w:p w:rsidR="00000000" w:rsidRPr="00A75B10" w:rsidP="00A75B10">
      <w:pPr>
        <w:pStyle w:val="Heading1"/>
      </w:pPr>
      <w:bookmarkStart w:id="3" w:name="O_1164472"/>
      <w:bookmarkEnd w:id="3"/>
      <w:r w:rsidRPr="00A75B10">
        <w:t>Pre-requisite Unit</w:t>
      </w:r>
    </w:p>
    <w:p w:rsidR="00000000" w:rsidRPr="00A75B10" w:rsidP="00971C87">
      <w:pPr>
        <w:pStyle w:val="BodyText"/>
      </w:pPr>
      <w:r w:rsidRPr="00A75B10">
        <w:t>Nil.</w:t>
      </w:r>
    </w:p>
    <w:p w:rsidR="00000000" w:rsidRPr="00A75B10" w:rsidP="00A75B10">
      <w:pPr>
        <w:pStyle w:val="Heading1"/>
      </w:pPr>
      <w:bookmarkStart w:id="4" w:name="O_1164471"/>
      <w:bookmarkEnd w:id="4"/>
      <w:r w:rsidRPr="00A75B10">
        <w:t>Unit Sector</w:t>
      </w:r>
    </w:p>
    <w:p w:rsidR="00000000" w:rsidRPr="00A75B10" w:rsidP="00971C87">
      <w:pPr>
        <w:pStyle w:val="BodyText"/>
      </w:pPr>
      <w:r w:rsidRPr="00A75B10">
        <w:t>Building Design</w:t>
      </w:r>
    </w:p>
    <w:p w:rsidR="00000000" w:rsidRPr="00A75B10" w:rsidP="00A75B10">
      <w:pPr>
        <w:pStyle w:val="Heading1"/>
      </w:pPr>
      <w:bookmarkStart w:id="5" w:name="O_1164470"/>
      <w:bookmarkEnd w:id="5"/>
      <w:r w:rsidRPr="00A75B1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75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Performance criteria describe what needs to be done to demonstrate achievement of the element.</w:t>
            </w:r>
          </w:p>
        </w:tc>
      </w:tr>
      <w:tr w:rsidTr="00A75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Research applicable legislation.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Determine legislative requirements for the design of Class 2-9 buildings of T</w:t>
            </w:r>
            <w:r w:rsidRPr="00A75B10">
              <w:t>ype B and C construction.</w:t>
            </w:r>
          </w:p>
        </w:tc>
      </w:tr>
      <w:tr w:rsidTr="00A75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Identify design impacts of applicable legislation.</w:t>
            </w:r>
          </w:p>
        </w:tc>
      </w:tr>
      <w:tr w:rsidTr="00A75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</w:p>
        </w:tc>
      </w:tr>
      <w:tr w:rsidTr="00A75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Research applicable planning and building regulations.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Identify intended use of building.</w:t>
            </w:r>
          </w:p>
        </w:tc>
      </w:tr>
      <w:tr w:rsidTr="00A75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Determine nature of building to confirm building class and construction Type according to NCC.</w:t>
            </w:r>
          </w:p>
        </w:tc>
      </w:tr>
      <w:tr w:rsidTr="00A75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Interpret local planning schemes, regulations, codes and standards affecting design compliance.</w:t>
            </w:r>
          </w:p>
        </w:tc>
      </w:tr>
      <w:tr w:rsidTr="00A75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Identify variations in requirements for project location and conditions.</w:t>
            </w:r>
          </w:p>
        </w:tc>
      </w:tr>
      <w:tr w:rsidTr="00A75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Confirm currency and relevance of referenced codes, standards and regulations.</w:t>
            </w:r>
          </w:p>
        </w:tc>
      </w:tr>
      <w:tr w:rsidTr="00A75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</w:p>
        </w:tc>
      </w:tr>
      <w:tr w:rsidTr="00A75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Review building design for compliance with performance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Clarify ambiguous or conflicting compliance requirements and determine areas requiring specialist design input.</w:t>
            </w:r>
          </w:p>
        </w:tc>
      </w:tr>
      <w:tr w:rsidTr="00A75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Identify relevant professionals that may be required to confirm compliance requirements.</w:t>
            </w:r>
          </w:p>
        </w:tc>
      </w:tr>
      <w:tr w:rsidTr="00A75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Identify requirements for supportin</w:t>
            </w:r>
            <w:r w:rsidRPr="00A75B10">
              <w:t>g expert documentation.</w:t>
            </w:r>
          </w:p>
        </w:tc>
      </w:tr>
      <w:tr w:rsidTr="00A75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 xml:space="preserve">Check building design against deemed-to-satisfy (DTS) provisions to identify required performance-based </w:t>
            </w:r>
            <w:r w:rsidRPr="00A75B10">
              <w:t xml:space="preserve">solutions. </w:t>
            </w:r>
          </w:p>
        </w:tc>
      </w:tr>
      <w:tr w:rsidTr="00A75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10" w:rsidP="00A75B10">
            <w:pPr>
              <w:pStyle w:val="BodyText"/>
            </w:pPr>
            <w:r w:rsidRPr="00A75B10">
              <w:t>Determine documentation requirements for a required performance-based solution.</w:t>
            </w:r>
          </w:p>
        </w:tc>
      </w:tr>
    </w:tbl>
    <w:p w:rsidR="00000000" w:rsidRPr="00A75B10" w:rsidP="00A75B10">
      <w:pPr>
        <w:pStyle w:val="BodyText"/>
      </w:pPr>
    </w:p>
    <w:p w:rsidR="00000000" w:rsidRPr="00A75B10" w:rsidP="00A75B10">
      <w:pPr>
        <w:pStyle w:val="AllowPageBreak"/>
      </w:pPr>
    </w:p>
    <w:p w:rsidR="00000000" w:rsidRPr="00A75B10" w:rsidP="00A75B10">
      <w:pPr>
        <w:pStyle w:val="Heading1"/>
      </w:pPr>
      <w:bookmarkStart w:id="6" w:name="O_1164469"/>
      <w:bookmarkEnd w:id="6"/>
      <w:r w:rsidRPr="00A75B10">
        <w:t>F</w:t>
      </w:r>
      <w:r w:rsidRPr="00A75B10">
        <w:t>oundation Skills</w:t>
      </w:r>
    </w:p>
    <w:p w:rsidR="00000000" w:rsidRPr="00A75B10" w:rsidP="00971C87">
      <w:pPr>
        <w:pStyle w:val="BodyText"/>
      </w:pPr>
      <w:r w:rsidRPr="00A75B10">
        <w:t>As well as the foundation skills explicit in the performance criteria of this unit, candidates require:</w:t>
      </w:r>
    </w:p>
    <w:p w:rsidR="00000000" w:rsidRPr="00A75B10" w:rsidP="00A75B10">
      <w:pPr>
        <w:pStyle w:val="ListBullet"/>
      </w:pPr>
      <w:r w:rsidRPr="00A75B10">
        <w:t>reading skills to:</w:t>
      </w:r>
    </w:p>
    <w:p w:rsidR="00000000" w:rsidRPr="00A75B10" w:rsidP="00A75B10">
      <w:pPr>
        <w:pStyle w:val="ListBullet2"/>
      </w:pPr>
      <w:r w:rsidRPr="00A75B10">
        <w:t>research and analyse compliance requirements from different sources</w:t>
      </w:r>
    </w:p>
    <w:p w:rsidR="00000000" w:rsidRPr="00A75B10" w:rsidP="00A75B10">
      <w:pPr>
        <w:pStyle w:val="ListBullet2"/>
      </w:pPr>
      <w:r w:rsidRPr="00A75B10">
        <w:t>interpret and apply complex technical information in legislation, regulations, codes and standards.</w:t>
      </w:r>
    </w:p>
    <w:p w:rsidR="00000000" w:rsidRPr="00A75B10" w:rsidP="00A75B10">
      <w:pPr>
        <w:pStyle w:val="AllowPageBreak"/>
      </w:pPr>
    </w:p>
    <w:p w:rsidR="00000000" w:rsidRPr="00A75B10" w:rsidP="00A75B10">
      <w:pPr>
        <w:pStyle w:val="Heading1"/>
      </w:pPr>
      <w:bookmarkStart w:id="7" w:name="O_1164468"/>
      <w:bookmarkEnd w:id="7"/>
      <w:r w:rsidRPr="00A75B10">
        <w:t>Unit Mapping Information</w:t>
      </w:r>
    </w:p>
    <w:p w:rsidR="00000000" w:rsidRPr="00A75B10" w:rsidP="00971C87">
      <w:pPr>
        <w:pStyle w:val="BodyText"/>
      </w:pPr>
      <w:r w:rsidRPr="00A75B10">
        <w:t>Supersedes and is not equivalent to:</w:t>
      </w:r>
    </w:p>
    <w:p w:rsidR="00000000" w:rsidRPr="00A75B10" w:rsidP="00A75B10">
      <w:pPr>
        <w:pStyle w:val="ListBullet"/>
      </w:pPr>
      <w:r w:rsidRPr="00A75B10">
        <w:t>CPPBDN5003A Research compliance requirements for small-scale residential b</w:t>
      </w:r>
      <w:r w:rsidRPr="00A75B10">
        <w:t>uilding design projects</w:t>
      </w:r>
    </w:p>
    <w:p w:rsidR="00000000" w:rsidRPr="00A75B10" w:rsidP="00A75B10">
      <w:pPr>
        <w:pStyle w:val="ListBullet"/>
      </w:pPr>
      <w:r w:rsidRPr="00A75B10">
        <w:t>CPPBDN5004A Research compliance requirements for small-scale non-residential building design projects.</w:t>
      </w:r>
    </w:p>
    <w:p w:rsidR="00000000" w:rsidRPr="00A75B10" w:rsidP="00A75B10">
      <w:pPr>
        <w:pStyle w:val="AllowPageBreak"/>
      </w:pPr>
    </w:p>
    <w:p w:rsidR="00000000" w:rsidRPr="00A75B10" w:rsidP="00A75B10">
      <w:pPr>
        <w:pStyle w:val="Heading1"/>
      </w:pPr>
      <w:bookmarkStart w:id="8" w:name="O_1164475"/>
      <w:bookmarkEnd w:id="8"/>
      <w:r w:rsidRPr="00A75B10">
        <w:t>Links</w:t>
      </w:r>
    </w:p>
    <w:p w:rsidR="00000000" w:rsidRPr="00A75B10" w:rsidP="00971C87">
      <w:pPr>
        <w:pStyle w:val="BodyText"/>
      </w:pPr>
      <w:r w:rsidRPr="00A75B1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A211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75B10" w:rsidP="00971C87">
      <w:pPr>
        <w:pStyle w:val="BodyText"/>
        <w:sectPr w:rsidSect="00A75B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5B10" w:rsidP="00A75B10">
      <w:pPr>
        <w:pStyle w:val="SuperHeading"/>
      </w:pPr>
      <w:r w:rsidRPr="00A75B10">
        <w:t>Assessment Requirements for CPPBDN5106 Determine compliance requirements for Class 2-9 buildings up to two storeys</w:t>
      </w:r>
    </w:p>
    <w:p w:rsidR="00000000" w:rsidRPr="00A75B10" w:rsidP="00A75B10">
      <w:pPr>
        <w:pStyle w:val="Heading1"/>
      </w:pPr>
      <w:bookmarkStart w:id="9" w:name="O_1164466"/>
      <w:bookmarkEnd w:id="9"/>
      <w:r w:rsidRPr="00A75B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75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10" w:rsidP="00A75B10">
            <w:pPr>
              <w:pStyle w:val="BodyText"/>
            </w:pPr>
            <w:r w:rsidRPr="00A75B10">
              <w:t>This version first released with CPP Property Services Training Package Release 13.1.</w:t>
            </w:r>
          </w:p>
          <w:p w:rsidR="00000000" w:rsidRPr="00A75B10" w:rsidP="00A75B10">
            <w:pPr>
              <w:pStyle w:val="BodyText"/>
            </w:pPr>
            <w:r w:rsidRPr="00A75B10">
              <w:t>Mapping information corrected from supersedes and is not equivalent to CPPBDN5106 - Determine compliance requirements for Class 2-9 buildin</w:t>
            </w:r>
            <w:r w:rsidRPr="00A75B10">
              <w:t>gs up to two storeys  to:</w:t>
            </w:r>
          </w:p>
          <w:p w:rsidR="00000000" w:rsidRPr="00A75B10" w:rsidP="00A75B10">
            <w:pPr>
              <w:pStyle w:val="BodyText"/>
            </w:pPr>
            <w:r w:rsidRPr="00A75B10">
              <w:t>Supersedes and is not equivalent to:</w:t>
            </w:r>
          </w:p>
          <w:p w:rsidR="00000000" w:rsidRPr="00A75B10" w:rsidP="00A75B10">
            <w:pPr>
              <w:pStyle w:val="ListBullet"/>
            </w:pPr>
            <w:r w:rsidRPr="00A75B10">
              <w:t>CPPBDN5003A Research compliance requirements for small-scale residential building design projects</w:t>
            </w:r>
          </w:p>
          <w:p w:rsidR="00000000" w:rsidP="00A75B10">
            <w:pPr>
              <w:pStyle w:val="ListBullet"/>
              <w:rPr>
                <w:lang w:val="en-NZ"/>
              </w:rPr>
            </w:pPr>
            <w:r w:rsidRPr="00A75B10">
              <w:t>CPPBDN5004A Research compliance requirements for small-scale non-residential building design p</w:t>
            </w:r>
            <w:r w:rsidRPr="00A75B10">
              <w:t>rojects.</w:t>
            </w:r>
          </w:p>
        </w:tc>
      </w:tr>
      <w:tr w:rsidTr="00A75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B10">
            <w:pPr>
              <w:pStyle w:val="BodyText"/>
              <w:rPr>
                <w:lang w:val="en-NZ"/>
              </w:rPr>
            </w:pPr>
            <w:r w:rsidRPr="00A75B1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B10" w:rsidP="00A75B10">
            <w:pPr>
              <w:pStyle w:val="BodyText"/>
            </w:pPr>
            <w:r w:rsidRPr="00A75B10">
              <w:t>This version first released with CPP Property Services Training Package Release 11.0.</w:t>
            </w:r>
          </w:p>
          <w:p w:rsidR="00000000" w:rsidRPr="00A75B10" w:rsidP="00A75B10">
            <w:pPr>
              <w:pStyle w:val="BodyText"/>
            </w:pPr>
            <w:r w:rsidRPr="00A75B10">
              <w:t>Supersedes and is not equivalent to:</w:t>
            </w:r>
          </w:p>
          <w:p w:rsidR="00000000" w:rsidRPr="00A75B10" w:rsidP="00A75B10">
            <w:pPr>
              <w:pStyle w:val="ListBullet"/>
            </w:pPr>
            <w:r w:rsidRPr="00A75B10">
              <w:t>CPPBDN5004A Research compliance requirements for small-scale non-residential building design projects.</w:t>
            </w:r>
          </w:p>
          <w:p w:rsidR="00000000" w:rsidRPr="00A75B10" w:rsidP="00A75B10">
            <w:pPr>
              <w:pStyle w:val="ListBullet"/>
            </w:pPr>
            <w:r w:rsidRPr="00A75B10">
              <w:t>CPPBDN5010A Negotiate and finalise planning approval for small scale building design projects.</w:t>
            </w:r>
          </w:p>
          <w:p w:rsidR="00000000" w:rsidRPr="00A75B10" w:rsidP="00A75B10">
            <w:pPr>
              <w:pStyle w:val="BodyText"/>
            </w:pPr>
            <w:r w:rsidRPr="00A75B10">
              <w:t>Updated to meet the Standards for Training Packages 2012.</w:t>
            </w:r>
          </w:p>
        </w:tc>
      </w:tr>
    </w:tbl>
    <w:p w:rsidR="00000000" w:rsidRPr="00A75B10" w:rsidP="00A75B10">
      <w:pPr>
        <w:pStyle w:val="BodyText"/>
      </w:pPr>
    </w:p>
    <w:p w:rsidR="00000000" w:rsidRPr="00A75B10" w:rsidP="00A75B10">
      <w:pPr>
        <w:pStyle w:val="AllowPageBreak"/>
      </w:pPr>
    </w:p>
    <w:p w:rsidR="00000000" w:rsidRPr="00A75B10" w:rsidP="00A75B10">
      <w:pPr>
        <w:pStyle w:val="Heading1"/>
      </w:pPr>
      <w:bookmarkStart w:id="10" w:name="O_1164465"/>
      <w:bookmarkEnd w:id="10"/>
      <w:r w:rsidRPr="00A75B10">
        <w:t>Performance Evidence</w:t>
      </w:r>
    </w:p>
    <w:p w:rsidR="00000000" w:rsidRPr="00A75B10" w:rsidP="00971C87">
      <w:pPr>
        <w:pStyle w:val="BodyText"/>
      </w:pPr>
      <w:r w:rsidRPr="00A75B10">
        <w:t>To demonstrate competency, a candidate must meet the performa</w:t>
      </w:r>
      <w:r w:rsidRPr="00A75B10">
        <w:t xml:space="preserve">nce criteria of this unit by researching, evaluating and documenting compliance with codes, standards and planning requirements for two different Class 2-9 building designs up to two storeys, involving: </w:t>
      </w:r>
    </w:p>
    <w:p w:rsidR="00000000" w:rsidRPr="00A75B10" w:rsidP="00A75B10">
      <w:pPr>
        <w:pStyle w:val="ListBullet"/>
      </w:pPr>
      <w:r w:rsidRPr="00A75B10">
        <w:t>buildings of different classifications as defined b</w:t>
      </w:r>
      <w:r w:rsidRPr="00A75B10">
        <w:t>y the National Construction Code (NCC)</w:t>
      </w:r>
    </w:p>
    <w:p w:rsidR="00000000" w:rsidRPr="00A75B10" w:rsidP="00A75B10">
      <w:pPr>
        <w:pStyle w:val="ListBullet"/>
      </w:pPr>
      <w:r w:rsidRPr="00A75B10">
        <w:t xml:space="preserve">buildings of construction Type B and C, as defined by the NCC. </w:t>
      </w:r>
    </w:p>
    <w:p w:rsidR="00000000" w:rsidRPr="00A75B10" w:rsidP="00A75B10">
      <w:pPr>
        <w:pStyle w:val="AllowPageBreak"/>
      </w:pPr>
    </w:p>
    <w:p w:rsidR="00000000" w:rsidRPr="00A75B10" w:rsidP="00A75B10">
      <w:pPr>
        <w:pStyle w:val="Heading1"/>
      </w:pPr>
      <w:bookmarkStart w:id="11" w:name="O_1164464"/>
      <w:bookmarkEnd w:id="11"/>
      <w:r w:rsidRPr="00A75B10">
        <w:t>Knowledge Evidence</w:t>
      </w:r>
    </w:p>
    <w:p w:rsidR="00000000" w:rsidRPr="00A75B10" w:rsidP="00971C87">
      <w:pPr>
        <w:pStyle w:val="BodyText"/>
      </w:pPr>
      <w:r w:rsidRPr="00A75B10">
        <w:t>To be competent in this unit, a candidate must demonstrate knowledge of:</w:t>
      </w:r>
    </w:p>
    <w:p w:rsidR="00000000" w:rsidRPr="00A75B10" w:rsidP="00A75B10">
      <w:pPr>
        <w:pStyle w:val="ListBullet"/>
      </w:pPr>
      <w:r w:rsidRPr="00A75B10">
        <w:t>req</w:t>
      </w:r>
      <w:r w:rsidRPr="00A75B10">
        <w:t>uirements of local, state and national legislation, codes and standards for Class 2-9 building designs</w:t>
      </w:r>
    </w:p>
    <w:p w:rsidR="00000000" w:rsidRPr="00A75B10" w:rsidP="00A75B10">
      <w:pPr>
        <w:pStyle w:val="ListBullet"/>
      </w:pPr>
      <w:r w:rsidRPr="00A75B10">
        <w:t>NCC building classifications and construction Types A, B and C</w:t>
      </w:r>
    </w:p>
    <w:p w:rsidR="00000000" w:rsidRPr="00A75B10" w:rsidP="00A75B10">
      <w:pPr>
        <w:pStyle w:val="ListBullet"/>
      </w:pPr>
      <w:r w:rsidRPr="00A75B10">
        <w:t>compliance relating to construction of Class 2-9 buildings of Type B and C construction:</w:t>
      </w:r>
    </w:p>
    <w:p w:rsidR="00000000" w:rsidRPr="00A75B10" w:rsidP="00A75B10">
      <w:pPr>
        <w:pStyle w:val="ListBullet2"/>
      </w:pPr>
      <w:r w:rsidRPr="00A75B10">
        <w:t>NCC deemed-to-satisfy (DTS) and performance-based solutions</w:t>
      </w:r>
    </w:p>
    <w:p w:rsidR="00000000" w:rsidRPr="00A75B10" w:rsidP="00A75B10">
      <w:pPr>
        <w:pStyle w:val="ListBullet2"/>
      </w:pPr>
      <w:r w:rsidRPr="00A75B10">
        <w:t>Australian Standards</w:t>
      </w:r>
    </w:p>
    <w:p w:rsidR="00000000" w:rsidRPr="00A75B10" w:rsidP="00A75B10">
      <w:pPr>
        <w:pStyle w:val="ListBullet2"/>
      </w:pPr>
      <w:r w:rsidRPr="00A75B10">
        <w:t>planning requirements and processes of relevant local, state or territory government authorities</w:t>
      </w:r>
    </w:p>
    <w:p w:rsidR="00000000" w:rsidRPr="00A75B10" w:rsidP="00A75B10">
      <w:pPr>
        <w:pStyle w:val="ListBullet"/>
      </w:pPr>
      <w:r w:rsidRPr="00A75B10">
        <w:t>applicable variations in compliance requirements for relevant locations and c</w:t>
      </w:r>
      <w:r w:rsidRPr="00A75B10">
        <w:t>onditions:</w:t>
      </w:r>
    </w:p>
    <w:p w:rsidR="00000000" w:rsidRPr="00A75B10" w:rsidP="00A75B10">
      <w:pPr>
        <w:pStyle w:val="ListBullet2"/>
      </w:pPr>
      <w:r w:rsidRPr="00A75B10">
        <w:t>bushfire threat zones</w:t>
      </w:r>
    </w:p>
    <w:p w:rsidR="00000000" w:rsidRPr="00A75B10" w:rsidP="00A75B10">
      <w:pPr>
        <w:pStyle w:val="ListBullet2"/>
      </w:pPr>
      <w:r w:rsidRPr="00A75B10">
        <w:t>coastal areas</w:t>
      </w:r>
    </w:p>
    <w:p w:rsidR="00000000" w:rsidRPr="00A75B10" w:rsidP="00A75B10">
      <w:pPr>
        <w:pStyle w:val="ListBullet2"/>
      </w:pPr>
      <w:r w:rsidRPr="00A75B10">
        <w:t>climate zones</w:t>
      </w:r>
    </w:p>
    <w:p w:rsidR="00000000" w:rsidRPr="00A75B10" w:rsidP="00A75B10">
      <w:pPr>
        <w:pStyle w:val="ListBullet2"/>
      </w:pPr>
      <w:r w:rsidRPr="00A75B10">
        <w:t>flood zones</w:t>
      </w:r>
    </w:p>
    <w:p w:rsidR="00000000" w:rsidRPr="00A75B10" w:rsidP="00A75B10">
      <w:pPr>
        <w:pStyle w:val="ListBullet2"/>
      </w:pPr>
      <w:r w:rsidRPr="00A75B10">
        <w:t>mountainous areas</w:t>
      </w:r>
    </w:p>
    <w:p w:rsidR="00000000" w:rsidRPr="00A75B10" w:rsidP="00A75B10">
      <w:pPr>
        <w:pStyle w:val="ListBullet2"/>
      </w:pPr>
      <w:r w:rsidRPr="00A75B10">
        <w:t>heritage</w:t>
      </w:r>
    </w:p>
    <w:p w:rsidR="00000000" w:rsidRPr="00A75B10" w:rsidP="00A75B10">
      <w:pPr>
        <w:pStyle w:val="ListBullet2"/>
      </w:pPr>
      <w:r w:rsidRPr="00A75B10">
        <w:t>pest control.</w:t>
      </w:r>
    </w:p>
    <w:p w:rsidR="00000000" w:rsidRPr="00A75B10" w:rsidP="00A75B10">
      <w:pPr>
        <w:pStyle w:val="AllowPageBreak"/>
      </w:pPr>
    </w:p>
    <w:p w:rsidR="00000000" w:rsidRPr="00A75B10" w:rsidP="00A75B10">
      <w:pPr>
        <w:pStyle w:val="Heading1"/>
      </w:pPr>
      <w:bookmarkStart w:id="12" w:name="O_1164463"/>
      <w:bookmarkEnd w:id="12"/>
      <w:r w:rsidRPr="00A75B10">
        <w:t>Assessment Conditions</w:t>
      </w:r>
    </w:p>
    <w:p w:rsidR="00000000" w:rsidRPr="00A75B10" w:rsidP="00971C87">
      <w:pPr>
        <w:pStyle w:val="BodyText"/>
      </w:pPr>
      <w:r w:rsidRPr="00A75B10">
        <w:t>Assessors must meet the requirements for assessors contained in the Standards for Registered Training Organisations. Competency is to be assessed in the workplace or a simulated environment that accurately reflects performance in a real workplace setting w</w:t>
      </w:r>
      <w:r w:rsidRPr="00A75B10">
        <w:t>here these skills and knowledge would be performed. This includes access to:</w:t>
      </w:r>
    </w:p>
    <w:p w:rsidR="00000000" w:rsidRPr="00A75B10" w:rsidP="00A75B10">
      <w:pPr>
        <w:pStyle w:val="ListBullet"/>
      </w:pPr>
      <w:r w:rsidRPr="00A75B10">
        <w:t>computer with internet access and word processing software</w:t>
      </w:r>
    </w:p>
    <w:p w:rsidR="00000000" w:rsidRPr="00A75B10" w:rsidP="00A75B10">
      <w:pPr>
        <w:pStyle w:val="ListBullet"/>
      </w:pPr>
      <w:r w:rsidRPr="00A75B10">
        <w:t>relevant legislation, regulations, codes and standards</w:t>
      </w:r>
    </w:p>
    <w:p w:rsidR="00000000" w:rsidRPr="00A75B10" w:rsidP="00A75B10">
      <w:pPr>
        <w:pStyle w:val="ListBullet"/>
      </w:pPr>
      <w:r w:rsidRPr="00A75B10">
        <w:t>relevant project information and reference materials.</w:t>
      </w:r>
    </w:p>
    <w:p w:rsidR="00000000" w:rsidRPr="00A75B10" w:rsidP="00A75B10">
      <w:pPr>
        <w:pStyle w:val="AllowPageBreak"/>
      </w:pPr>
    </w:p>
    <w:p w:rsidR="00000000" w:rsidRPr="00A75B10" w:rsidP="00A75B10">
      <w:pPr>
        <w:pStyle w:val="Heading1"/>
      </w:pPr>
      <w:bookmarkStart w:id="13" w:name="O_1164476"/>
      <w:bookmarkEnd w:id="13"/>
      <w:r w:rsidRPr="00A75B10">
        <w:t>Links</w:t>
      </w:r>
    </w:p>
    <w:p w:rsidR="00000000" w:rsidRPr="00A75B10" w:rsidP="00971C87">
      <w:pPr>
        <w:pStyle w:val="BodyText"/>
      </w:pPr>
      <w:r w:rsidRPr="00A75B1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A211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75B10" w:rsidP="00A75B10"/>
    <w:sectPr w:rsidSect="00A75B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10" w:rsidRPr="00971C87" w:rsidP="00971C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C87" w:rsidP="00A75B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1C87" w:rsidP="00A75B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71C87" w:rsidP="00A75B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10" w:rsidP="00A75B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1C87">
      <w:t>Approved</w:t>
    </w:r>
    <w:r w:rsidR="00971C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1C8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1C87">
      <w:rPr>
        <w:noProof/>
      </w:rPr>
      <w:t>4</w:t>
    </w:r>
    <w:r>
      <w:rPr>
        <w:noProof/>
      </w:rPr>
      <w:fldChar w:fldCharType="end"/>
    </w:r>
  </w:p>
  <w:p w:rsidR="00A75B10" w:rsidP="00A75B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1C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1C87">
      <w:t>BuildSkills Australia</w:t>
    </w:r>
    <w:r w:rsidR="00971C87">
      <w:fldChar w:fldCharType="end"/>
    </w:r>
  </w:p>
  <w:p w:rsidR="00A75B10" w:rsidP="00A75B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C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B10" w:rsidRPr="00971C87" w:rsidP="00971C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C87" w:rsidRPr="002D2AF8" w:rsidP="00A75B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CPPBDN5106 Determine compliance requirements for Class 2-9 buildings up to two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1C87" w:rsidP="00A75B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10" w:rsidRPr="002D2AF8" w:rsidP="00A75B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1C87">
      <w:t>CPPBDN5106 Determine compliance requirements for Class 2-9 buildings up to two storeys</w:t>
    </w:r>
    <w:r w:rsidR="00971C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1C87">
      <w:rPr>
        <w:noProof/>
      </w:rPr>
      <w:t>2 March 2025</w:t>
    </w:r>
    <w:r>
      <w:fldChar w:fldCharType="end"/>
    </w:r>
  </w:p>
  <w:p w:rsidR="00A75B10" w:rsidP="00A75B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5836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1A68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1A89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B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B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B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B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B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B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B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B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B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B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B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B10"/>
  </w:style>
  <w:style w:type="character" w:customStyle="1" w:styleId="Heading1Char">
    <w:name w:val="Heading 1 Char"/>
    <w:basedOn w:val="DefaultParagraphFont"/>
    <w:link w:val="Heading1"/>
    <w:rsid w:val="00A75B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B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B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5B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5B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5B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B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A75B10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A75B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B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B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B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B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B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B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B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B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B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B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B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B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B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B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B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B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B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B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5B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5B10"/>
    <w:rPr>
      <w:b/>
      <w:spacing w:val="0"/>
    </w:rPr>
  </w:style>
  <w:style w:type="paragraph" w:customStyle="1" w:styleId="SuperTitle">
    <w:name w:val="SuperTitle"/>
    <w:basedOn w:val="Title"/>
    <w:rsid w:val="00A75B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B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B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5B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B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B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B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B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B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B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B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B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5B10"/>
    <w:rPr>
      <w:i/>
    </w:rPr>
  </w:style>
  <w:style w:type="paragraph" w:styleId="Caption">
    <w:name w:val="caption"/>
    <w:basedOn w:val="BodyText"/>
    <w:next w:val="Normal"/>
    <w:qFormat/>
    <w:rsid w:val="00A75B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B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B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B10"/>
  </w:style>
  <w:style w:type="paragraph" w:styleId="TableofFigures">
    <w:name w:val="table of figures"/>
    <w:basedOn w:val="Normal"/>
    <w:next w:val="Normal"/>
    <w:semiHidden/>
    <w:rsid w:val="00A75B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B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5B10"/>
    <w:rPr>
      <w:rFonts w:ascii="Wingdings" w:hAnsi="Wingdings"/>
    </w:rPr>
  </w:style>
  <w:style w:type="paragraph" w:customStyle="1" w:styleId="TableHeading">
    <w:name w:val="Table Heading"/>
    <w:basedOn w:val="HeadingBase"/>
    <w:rsid w:val="00A75B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B10"/>
    <w:rPr>
      <w:color w:val="0033CC"/>
      <w:u w:val="none"/>
    </w:rPr>
  </w:style>
  <w:style w:type="paragraph" w:customStyle="1" w:styleId="BodyTextRight">
    <w:name w:val="Body Text Right"/>
    <w:basedOn w:val="BodyText"/>
    <w:rsid w:val="00A75B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B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B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B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B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B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B10"/>
    <w:rPr>
      <w:sz w:val="32"/>
    </w:rPr>
  </w:style>
  <w:style w:type="paragraph" w:customStyle="1" w:styleId="HeadingProcedure">
    <w:name w:val="Heading Procedure"/>
    <w:basedOn w:val="HeadingBase"/>
    <w:next w:val="Normal"/>
    <w:rsid w:val="00A75B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B10"/>
    <w:pPr>
      <w:spacing w:before="60" w:after="60"/>
    </w:pPr>
  </w:style>
  <w:style w:type="paragraph" w:styleId="ListContinue">
    <w:name w:val="List Continue"/>
    <w:basedOn w:val="List"/>
    <w:rsid w:val="00A75B10"/>
    <w:pPr>
      <w:ind w:firstLine="0"/>
    </w:pPr>
  </w:style>
  <w:style w:type="paragraph" w:customStyle="1" w:styleId="ListNote">
    <w:name w:val="List Note"/>
    <w:basedOn w:val="List"/>
    <w:rsid w:val="00A75B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B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B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B10"/>
    <w:rPr>
      <w:rFonts w:ascii="Courier New" w:hAnsi="Courier New"/>
    </w:rPr>
  </w:style>
  <w:style w:type="paragraph" w:customStyle="1" w:styleId="NoteBullet">
    <w:name w:val="Note Bullet"/>
    <w:basedOn w:val="Note"/>
    <w:rsid w:val="00A75B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B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B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B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B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5B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B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B10"/>
    <w:rPr>
      <w:b/>
      <w:smallCaps/>
    </w:rPr>
  </w:style>
  <w:style w:type="paragraph" w:customStyle="1" w:styleId="TableListNumber">
    <w:name w:val="Table List Number"/>
    <w:basedOn w:val="ListNumber"/>
    <w:rsid w:val="00A75B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B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B10"/>
    <w:pPr>
      <w:numPr>
        <w:numId w:val="9"/>
      </w:numPr>
    </w:pPr>
  </w:style>
  <w:style w:type="paragraph" w:customStyle="1" w:styleId="ListAlpha2">
    <w:name w:val="List Alpha 2"/>
    <w:basedOn w:val="List2"/>
    <w:rsid w:val="00A75B10"/>
    <w:pPr>
      <w:numPr>
        <w:numId w:val="8"/>
      </w:numPr>
    </w:pPr>
  </w:style>
  <w:style w:type="paragraph" w:styleId="List2">
    <w:name w:val="List 2"/>
    <w:basedOn w:val="BodyText"/>
    <w:rsid w:val="00A75B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B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B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B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B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B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5B10"/>
    <w:pPr>
      <w:numPr>
        <w:numId w:val="4"/>
      </w:numPr>
    </w:pPr>
  </w:style>
  <w:style w:type="paragraph" w:styleId="ListContinue2">
    <w:name w:val="List Continue 2"/>
    <w:basedOn w:val="List2"/>
    <w:rsid w:val="00A75B10"/>
    <w:pPr>
      <w:ind w:firstLine="0"/>
    </w:pPr>
  </w:style>
  <w:style w:type="paragraph" w:styleId="ListContinue3">
    <w:name w:val="List Continue 3"/>
    <w:basedOn w:val="List3"/>
    <w:rsid w:val="00A75B10"/>
    <w:pPr>
      <w:ind w:left="1021" w:firstLine="0"/>
    </w:pPr>
  </w:style>
  <w:style w:type="paragraph" w:styleId="ListContinue4">
    <w:name w:val="List Continue 4"/>
    <w:basedOn w:val="List4"/>
    <w:rsid w:val="00A75B10"/>
    <w:pPr>
      <w:ind w:firstLine="0"/>
    </w:pPr>
  </w:style>
  <w:style w:type="paragraph" w:styleId="ListContinue5">
    <w:name w:val="List Continue 5"/>
    <w:basedOn w:val="List5"/>
    <w:rsid w:val="00A75B10"/>
    <w:pPr>
      <w:ind w:firstLine="0"/>
    </w:pPr>
  </w:style>
  <w:style w:type="paragraph" w:styleId="ListNumber3">
    <w:name w:val="List Number 3"/>
    <w:basedOn w:val="List3"/>
    <w:rsid w:val="00A75B10"/>
    <w:pPr>
      <w:numPr>
        <w:numId w:val="5"/>
      </w:numPr>
    </w:pPr>
  </w:style>
  <w:style w:type="paragraph" w:styleId="ListNumber4">
    <w:name w:val="List Number 4"/>
    <w:basedOn w:val="List4"/>
    <w:rsid w:val="00A75B10"/>
    <w:pPr>
      <w:numPr>
        <w:numId w:val="6"/>
      </w:numPr>
    </w:pPr>
  </w:style>
  <w:style w:type="paragraph" w:styleId="ListNumber5">
    <w:name w:val="List Number 5"/>
    <w:basedOn w:val="List5"/>
    <w:rsid w:val="00A75B10"/>
    <w:pPr>
      <w:numPr>
        <w:numId w:val="7"/>
      </w:numPr>
    </w:pPr>
  </w:style>
  <w:style w:type="paragraph" w:styleId="BlockText">
    <w:name w:val="Block Text"/>
    <w:basedOn w:val="Normal"/>
    <w:rsid w:val="00A75B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B10"/>
    <w:rPr>
      <w:sz w:val="16"/>
      <w:vertAlign w:val="subscript"/>
    </w:rPr>
  </w:style>
  <w:style w:type="character" w:customStyle="1" w:styleId="Symbols">
    <w:name w:val="Symbols"/>
    <w:basedOn w:val="DefaultParagraphFont"/>
    <w:rsid w:val="00A75B10"/>
    <w:rPr>
      <w:rFonts w:ascii="Symbol" w:hAnsi="Symbol"/>
    </w:rPr>
  </w:style>
  <w:style w:type="character" w:customStyle="1" w:styleId="MenuOptions">
    <w:name w:val="Menu Options"/>
    <w:basedOn w:val="DefaultParagraphFont"/>
    <w:rsid w:val="00A75B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B10"/>
    <w:rPr>
      <w:b/>
    </w:rPr>
  </w:style>
  <w:style w:type="character" w:customStyle="1" w:styleId="Underlined">
    <w:name w:val="Underlined"/>
    <w:basedOn w:val="DefaultParagraphFont"/>
    <w:rsid w:val="00A75B10"/>
    <w:rPr>
      <w:u w:val="single"/>
    </w:rPr>
  </w:style>
  <w:style w:type="paragraph" w:customStyle="1" w:styleId="TableBodyTextRight">
    <w:name w:val="Table Body Text Right"/>
    <w:basedOn w:val="TableBodyText"/>
    <w:rsid w:val="00A75B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B10"/>
    <w:rPr>
      <w:sz w:val="18"/>
    </w:rPr>
  </w:style>
  <w:style w:type="paragraph" w:customStyle="1" w:styleId="BodySmallRight">
    <w:name w:val="Body Small Right"/>
    <w:basedOn w:val="BodyTextRight"/>
    <w:rsid w:val="00A75B10"/>
    <w:rPr>
      <w:sz w:val="18"/>
      <w:szCs w:val="18"/>
    </w:rPr>
  </w:style>
  <w:style w:type="paragraph" w:customStyle="1" w:styleId="MarginEdition">
    <w:name w:val="Margin Edition"/>
    <w:basedOn w:val="MarginNote"/>
    <w:rsid w:val="00A75B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B10"/>
    <w:rPr>
      <w:sz w:val="2"/>
      <w:szCs w:val="2"/>
    </w:rPr>
  </w:style>
  <w:style w:type="character" w:customStyle="1" w:styleId="Small">
    <w:name w:val="Small"/>
    <w:basedOn w:val="DefaultParagraphFont"/>
    <w:rsid w:val="00A75B10"/>
    <w:rPr>
      <w:sz w:val="16"/>
    </w:rPr>
  </w:style>
  <w:style w:type="paragraph" w:customStyle="1" w:styleId="WideTable">
    <w:name w:val="Wide Table"/>
    <w:basedOn w:val="Normal"/>
    <w:rsid w:val="00A75B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B10"/>
  </w:style>
  <w:style w:type="paragraph" w:styleId="Quote">
    <w:name w:val="Quote"/>
    <w:basedOn w:val="Heading1"/>
    <w:link w:val="QuoteChar"/>
    <w:qFormat/>
    <w:rsid w:val="00A75B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B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B10"/>
    <w:pPr>
      <w:pageBreakBefore/>
    </w:pPr>
  </w:style>
  <w:style w:type="paragraph" w:customStyle="1" w:styleId="Border">
    <w:name w:val="Border"/>
    <w:basedOn w:val="Normal"/>
    <w:qFormat/>
    <w:rsid w:val="00A75B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B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B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B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B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B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B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B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B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B10"/>
    <w:rPr>
      <w:u w:val="single"/>
    </w:rPr>
  </w:style>
  <w:style w:type="character" w:customStyle="1" w:styleId="BoldandItalics">
    <w:name w:val="Bold and Italics"/>
    <w:qFormat/>
    <w:rsid w:val="00A75B10"/>
    <w:rPr>
      <w:b/>
      <w:i/>
      <w:u w:val="none"/>
    </w:rPr>
  </w:style>
  <w:style w:type="paragraph" w:styleId="BalloonText">
    <w:name w:val="Balloon Text"/>
    <w:basedOn w:val="Normal"/>
    <w:link w:val="BalloonTextChar"/>
    <w:rsid w:val="00A75B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B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B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B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B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B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B10"/>
    <w:pPr>
      <w:spacing w:before="0" w:after="0"/>
    </w:pPr>
  </w:style>
  <w:style w:type="paragraph" w:customStyle="1" w:styleId="BodyTextBold">
    <w:name w:val="Body Text Bold"/>
    <w:basedOn w:val="BodyText"/>
    <w:qFormat/>
    <w:rsid w:val="00A75B10"/>
    <w:rPr>
      <w:b/>
    </w:rPr>
  </w:style>
  <w:style w:type="character" w:styleId="Hyperlink">
    <w:name w:val="Hyperlink"/>
    <w:basedOn w:val="DefaultParagraphFont"/>
    <w:uiPriority w:val="99"/>
    <w:unhideWhenUsed/>
    <w:rsid w:val="00971C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939</Words>
  <Characters>6314</Characters>
  <Application>Microsoft Office Word</Application>
  <DocSecurity>0</DocSecurity>
  <Lines>217</Lines>
  <Paragraphs>129</Paragraphs>
  <ScaleCrop>false</ScaleCrop>
  <Company>Author-it Software Corporation Ltd.</Company>
  <LinksUpToDate>false</LinksUpToDate>
  <CharactersWithSpaces>7124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CPPBDN5106 Determine compliance requirements for Class 2-9 buildings up to two storeys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2025-03-01T14:21:00Z</dcterms:created>
  <dcterms:modified xsi:type="dcterms:W3CDTF">2025-03-01T14:21:00Z</dcterms:modified>
</cp:coreProperties>
</file>