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601" w:rsidP="00A856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CPPBDN5105 Evaluate construction materials and methods for Class 2-9 buildings up to two storeys</w:t>
      </w:r>
      <w:r>
        <w:fldChar w:fldCharType="end"/>
      </w:r>
    </w:p>
    <w:p w:rsidR="00A85601" w:rsidP="00A85601">
      <w:pPr>
        <w:pStyle w:val="Version"/>
        <w:sectPr w:rsidSect="00CE56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563E" w:rsidP="00CE563E">
      <w:pPr>
        <w:pStyle w:val="SuperHeading"/>
      </w:pPr>
      <w:r w:rsidRPr="00CE563E">
        <w:t>CPPBDN5105 Evaluate construction materials and methods for Class 2-9 buildings up to two storeys</w:t>
      </w:r>
    </w:p>
    <w:p w:rsidR="00000000" w:rsidRPr="00CE563E" w:rsidP="00CE563E">
      <w:pPr>
        <w:pStyle w:val="Heading1"/>
      </w:pPr>
      <w:bookmarkStart w:id="1" w:name="O_1137866"/>
      <w:bookmarkEnd w:id="1"/>
      <w:r w:rsidRPr="00CE56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63E" w:rsidP="00CE563E">
            <w:pPr>
              <w:pStyle w:val="BodyText"/>
            </w:pPr>
            <w:r w:rsidRPr="00CE563E">
              <w:t>This version first released with CPP Property Services Training Package Release 11.0.</w:t>
            </w:r>
          </w:p>
          <w:p w:rsidR="00000000" w:rsidRPr="00CE563E" w:rsidP="00CE563E">
            <w:pPr>
              <w:pStyle w:val="BodyText"/>
            </w:pPr>
            <w:r w:rsidRPr="00CE563E">
              <w:t>Supersedes and is not equivalent to:</w:t>
            </w:r>
          </w:p>
          <w:p w:rsidR="00000000" w:rsidRPr="00CE563E" w:rsidP="00CE563E">
            <w:pPr>
              <w:pStyle w:val="ListBullet"/>
            </w:pPr>
            <w:r w:rsidRPr="00CE563E">
              <w:t>CPPBDN5001A Research construction materials and methods for small-scale residential building design projects.</w:t>
            </w:r>
          </w:p>
          <w:p w:rsidR="00000000" w:rsidRPr="00CE563E" w:rsidP="00CE563E">
            <w:pPr>
              <w:pStyle w:val="ListBullet"/>
            </w:pPr>
            <w:r w:rsidRPr="00CE563E">
              <w:t>CPPBDN5002A Research construction materials and methods for small-scale non-residential building design proj</w:t>
            </w:r>
            <w:r w:rsidRPr="00CE563E">
              <w:t>ects.</w:t>
            </w:r>
          </w:p>
          <w:p w:rsidR="00000000" w:rsidRPr="00CE563E" w:rsidP="00CE563E">
            <w:pPr>
              <w:pStyle w:val="BodyText"/>
            </w:pPr>
            <w:r w:rsidRPr="00CE563E">
              <w:t>Updated to meet the Standards for Training Packages 2012.</w:t>
            </w:r>
          </w:p>
        </w:tc>
      </w:tr>
    </w:tbl>
    <w:p w:rsidR="00000000" w:rsidRPr="00CE563E" w:rsidP="00CE563E">
      <w:pPr>
        <w:pStyle w:val="BodyText"/>
      </w:pPr>
    </w:p>
    <w:p w:rsidR="00000000" w:rsidRPr="00CE563E" w:rsidP="00CE563E">
      <w:pPr>
        <w:pStyle w:val="AllowPageBreak"/>
      </w:pPr>
    </w:p>
    <w:p w:rsidR="00000000" w:rsidRPr="00CE563E" w:rsidP="00CE563E">
      <w:pPr>
        <w:pStyle w:val="Heading1"/>
      </w:pPr>
      <w:bookmarkStart w:id="2" w:name="O_1137872"/>
      <w:bookmarkEnd w:id="2"/>
      <w:r w:rsidRPr="00CE563E">
        <w:t>Application</w:t>
      </w:r>
    </w:p>
    <w:p w:rsidR="00000000" w:rsidRPr="00CE563E" w:rsidP="00A85601">
      <w:pPr>
        <w:pStyle w:val="BodyText"/>
      </w:pPr>
      <w:r w:rsidRPr="00CE563E">
        <w:t>This unit specifies the skills and knowledge required to evaluate traditional, contemporary and emerging construction materials and methods for the design of C</w:t>
      </w:r>
      <w:r w:rsidRPr="00CE563E">
        <w:t>lass 2-9 buildings to a maximum floor area of 2000m</w:t>
      </w:r>
      <w:r w:rsidRPr="00CE563E">
        <w:rPr>
          <w:rStyle w:val="Superscript"/>
        </w:rPr>
        <w:t>2</w:t>
      </w:r>
      <w:r w:rsidRPr="00CE563E">
        <w:t>, except construction Type A buildings. It includes researching the application, performance and interaction of available construction materials and methods.</w:t>
      </w:r>
    </w:p>
    <w:p w:rsidR="00000000" w:rsidRPr="00CE563E" w:rsidP="00A85601">
      <w:pPr>
        <w:pStyle w:val="BodyText"/>
      </w:pPr>
      <w:r w:rsidRPr="00CE563E">
        <w:t>Building cl</w:t>
      </w:r>
      <w:r w:rsidRPr="00CE563E">
        <w:t>assifications and construction types are set out in the National Construction Code (NCC).</w:t>
      </w:r>
    </w:p>
    <w:p w:rsidR="00000000" w:rsidRPr="00CE563E" w:rsidP="00A85601">
      <w:pPr>
        <w:pStyle w:val="BodyText"/>
      </w:pPr>
      <w:r w:rsidRPr="00CE563E">
        <w:t>This unit is suitable for drafters and building designers who apply technical and theoretical knowledge and skills to building design work tasks.</w:t>
      </w:r>
    </w:p>
    <w:p w:rsidR="00000000" w:rsidRPr="00CE563E" w:rsidP="00A85601">
      <w:pPr>
        <w:pStyle w:val="BodyText"/>
      </w:pPr>
      <w:r w:rsidRPr="00CE563E">
        <w:t>This unit forms part</w:t>
      </w:r>
      <w:r w:rsidRPr="00CE563E">
        <w:t xml:space="preserve"> of the licensing requirements for people engaged in building design in some states and territories. For further information, check with the relevant regulatory authority.</w:t>
      </w:r>
    </w:p>
    <w:p w:rsidR="00000000" w:rsidRPr="00CE563E" w:rsidP="00CE563E">
      <w:pPr>
        <w:pStyle w:val="Heading1"/>
      </w:pPr>
      <w:bookmarkStart w:id="3" w:name="O_1137871"/>
      <w:bookmarkEnd w:id="3"/>
      <w:r w:rsidRPr="00CE563E">
        <w:t>Pre-requisite Unit</w:t>
      </w:r>
    </w:p>
    <w:p w:rsidR="00000000" w:rsidRPr="00CE563E" w:rsidP="00A85601">
      <w:pPr>
        <w:pStyle w:val="BodyText"/>
      </w:pPr>
      <w:r w:rsidRPr="00CE563E">
        <w:t>Nil.</w:t>
      </w:r>
    </w:p>
    <w:p w:rsidR="00000000" w:rsidRPr="00CE563E" w:rsidP="00CE563E">
      <w:pPr>
        <w:pStyle w:val="Heading1"/>
      </w:pPr>
      <w:bookmarkStart w:id="4" w:name="O_1137870"/>
      <w:bookmarkEnd w:id="4"/>
      <w:r w:rsidRPr="00CE563E">
        <w:t>Unit Sector</w:t>
      </w:r>
    </w:p>
    <w:p w:rsidR="00000000" w:rsidRPr="00CE563E" w:rsidP="00A85601">
      <w:pPr>
        <w:pStyle w:val="BodyText"/>
      </w:pPr>
      <w:r w:rsidRPr="00CE563E">
        <w:t>Building D</w:t>
      </w:r>
      <w:r w:rsidRPr="00CE563E">
        <w:t>esign</w:t>
      </w:r>
    </w:p>
    <w:p w:rsidR="00000000" w:rsidRPr="00CE563E" w:rsidP="00CE563E">
      <w:pPr>
        <w:pStyle w:val="Heading1"/>
      </w:pPr>
      <w:bookmarkStart w:id="5" w:name="O_1137869"/>
      <w:bookmarkEnd w:id="5"/>
      <w:r w:rsidRPr="00CE56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 xml:space="preserve">Elements describe the </w:t>
            </w:r>
            <w:r w:rsidRPr="00CE563E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 xml:space="preserve">Performance criteria describe what needs to be done to </w:t>
            </w:r>
            <w:r w:rsidRPr="00CE563E">
              <w:t>demonstrate achievement of the element.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Evaluate site preparation, foundations and footings.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1.</w:t>
            </w:r>
            <w:r w:rsidRPr="00CE563E">
              <w:t>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Read and interpret site classification reports to confirm foundation material and wind classification and identify implications for structural design.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Investigate impact of earthworks and vegetation on adjoining land and existing structures.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Investigate drainage provisions required to manage surface water and subsoil drainage, during and post construction works.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Research and select termite risk management to suit regional characteristics.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Determine articulation and shrinkage control measures for footing and slab construction.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 xml:space="preserve">Analyse, sketch and annotate commonly used structural footing and floor systems, including on-grade and suspended. 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Evaluate and report on construction methods and materials for framing, cladding and lining.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Analyse, sketch and annotate commonly used structural wall and roof framing systems, including portal frames, bracing and tie-down.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Analyse, sketch and a</w:t>
            </w:r>
            <w:r w:rsidRPr="00CE563E">
              <w:t>nnotate commonly used systems for structural concrete, including pre-cast and cast-in situ walls, floors and roofs.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Analyse, sketch and annotate commonly used façade and glazing systems.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Analyse, sketch and annotate commonly used roof cladding and drainage systems, including flashings.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Investigate new and emerging construction materials, methods and systems.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Select appropriate thermal and acoustic insulation systems for build</w:t>
            </w:r>
            <w:r w:rsidRPr="00CE563E">
              <w:t xml:space="preserve">ing envelope and occupancy separation for different usage classifications. 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Research, analyse and sketch commonly used lining systems.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 xml:space="preserve">Analyse integration of construction materials and </w:t>
            </w:r>
            <w:r w:rsidRPr="00CE563E">
              <w:t>methods.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Analyse structural implications for provision of services.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Evaluate and report on the impact of compliance requirements on structural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Research, analyse and report on fire resistant construction requirements relevant to scope of works, nature and use of building.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Research, analyse and report on NCC requirements for access and egress relevant to scope of works, nature and use of bui</w:t>
            </w:r>
            <w:r w:rsidRPr="00CE563E">
              <w:t>lding.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Research, analyse and report on NCC requirements for health and amenity relevant to scope of works, nature and use of building.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Research, analyse and report on NCC requirements for energy efficiency relevant to scope of works, nature and use of building.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Evaluate and report on internal fit-out of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Research, analyse and sketch typical joinery components for commercial cabinetry and decorative finishes.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Determine structural, environmental and services implications of placement and selection of internal fixtures, fittings and finishes.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Evaluate and report on services for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Research installation methods for different types of services, components, and systems relevant to scope of works, nature and use of building.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Research and report on NCC requirements for services and</w:t>
            </w:r>
            <w:r w:rsidRPr="00CE563E">
              <w:t xml:space="preserve"> equipment relevant to scope of works, nature and use of building.</w:t>
            </w:r>
          </w:p>
        </w:tc>
      </w:tr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63E" w:rsidP="00CE563E">
            <w:pPr>
              <w:pStyle w:val="BodyText"/>
            </w:pPr>
            <w:r w:rsidRPr="00CE563E">
              <w:t>Research and report on environmental impact and sustainability of systems and components for services relevant to scope of works, nature and use of building.</w:t>
            </w:r>
          </w:p>
        </w:tc>
      </w:tr>
    </w:tbl>
    <w:p w:rsidR="00000000" w:rsidRPr="00CE563E" w:rsidP="00CE563E">
      <w:pPr>
        <w:pStyle w:val="BodyText"/>
      </w:pPr>
    </w:p>
    <w:p w:rsidR="00000000" w:rsidRPr="00CE563E" w:rsidP="00CE563E">
      <w:pPr>
        <w:pStyle w:val="AllowPageBreak"/>
      </w:pPr>
    </w:p>
    <w:p w:rsidR="00000000" w:rsidRPr="00CE563E" w:rsidP="00CE563E">
      <w:pPr>
        <w:pStyle w:val="Heading1"/>
      </w:pPr>
      <w:bookmarkStart w:id="6" w:name="O_1137868"/>
      <w:bookmarkEnd w:id="6"/>
      <w:r w:rsidRPr="00CE563E">
        <w:t>Foundation Skills</w:t>
      </w:r>
    </w:p>
    <w:p w:rsidR="00000000" w:rsidRPr="00CE563E" w:rsidP="00A85601">
      <w:pPr>
        <w:pStyle w:val="BodyText"/>
      </w:pPr>
      <w:r w:rsidRPr="00CE563E">
        <w:t>Foundation skills essential to performance are explicit in the performance criteria of this unit of competency.</w:t>
      </w:r>
    </w:p>
    <w:p w:rsidR="00000000" w:rsidRPr="00CE563E" w:rsidP="00CE563E">
      <w:pPr>
        <w:pStyle w:val="Heading1"/>
      </w:pPr>
      <w:bookmarkStart w:id="7" w:name="O_1137867"/>
      <w:bookmarkEnd w:id="7"/>
      <w:r w:rsidRPr="00CE563E">
        <w:t>Unit Mapping Information</w:t>
      </w:r>
    </w:p>
    <w:p w:rsidR="00000000" w:rsidRPr="00CE563E" w:rsidP="00A85601">
      <w:pPr>
        <w:pStyle w:val="BodyText"/>
      </w:pPr>
      <w:r w:rsidRPr="00CE563E">
        <w:t>Supersedes and is not equivalent to:</w:t>
      </w:r>
    </w:p>
    <w:p w:rsidR="00000000" w:rsidRPr="00CE563E" w:rsidP="00CE563E">
      <w:pPr>
        <w:pStyle w:val="ListBullet"/>
      </w:pPr>
      <w:r w:rsidRPr="00CE563E">
        <w:t xml:space="preserve">CPPBDN5001A Research construction materials </w:t>
      </w:r>
      <w:r w:rsidRPr="00CE563E">
        <w:t>and methods for small-scale residential building design projects.</w:t>
      </w:r>
    </w:p>
    <w:p w:rsidR="00000000" w:rsidRPr="00CE563E" w:rsidP="00CE563E">
      <w:pPr>
        <w:pStyle w:val="ListBullet"/>
      </w:pPr>
      <w:r w:rsidRPr="00CE563E">
        <w:t>CPPBDN5002A Research construction materials and methods for small-scale non-residential building design projects.</w:t>
      </w:r>
    </w:p>
    <w:p w:rsidR="00000000" w:rsidRPr="00CE563E" w:rsidP="00CE563E">
      <w:pPr>
        <w:pStyle w:val="AllowPageBreak"/>
      </w:pPr>
    </w:p>
    <w:p w:rsidR="00000000" w:rsidRPr="00CE563E" w:rsidP="00CE563E">
      <w:pPr>
        <w:pStyle w:val="Heading1"/>
      </w:pPr>
      <w:bookmarkStart w:id="8" w:name="O_1137860"/>
      <w:bookmarkEnd w:id="8"/>
      <w:r w:rsidRPr="00CE563E">
        <w:t>Links</w:t>
      </w:r>
    </w:p>
    <w:p w:rsidR="00000000" w:rsidRPr="00CE563E" w:rsidP="00A85601">
      <w:pPr>
        <w:pStyle w:val="BodyText"/>
      </w:pPr>
      <w:r w:rsidRPr="00CE563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D0E0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E563E" w:rsidP="00A85601">
      <w:pPr>
        <w:pStyle w:val="BodyText"/>
        <w:sectPr w:rsidSect="00CE56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563E" w:rsidP="00CE563E">
      <w:pPr>
        <w:pStyle w:val="SuperHeading"/>
      </w:pPr>
      <w:r w:rsidRPr="00CE563E">
        <w:t>Assessment Requirements for CPPBDN5105 Eval</w:t>
      </w:r>
      <w:r w:rsidRPr="00CE563E">
        <w:t>uate construction materials and methods for Class 2-9 buildings up to two storeys</w:t>
      </w:r>
    </w:p>
    <w:p w:rsidR="00000000" w:rsidRPr="00CE563E" w:rsidP="00CE563E">
      <w:pPr>
        <w:pStyle w:val="Heading1"/>
      </w:pPr>
      <w:bookmarkStart w:id="9" w:name="O_1137862"/>
      <w:bookmarkEnd w:id="9"/>
      <w:r w:rsidRPr="00CE56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E5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E">
            <w:pPr>
              <w:pStyle w:val="BodyText"/>
              <w:rPr>
                <w:lang w:val="en-NZ"/>
              </w:rPr>
            </w:pPr>
            <w:r w:rsidRPr="00CE563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63E" w:rsidP="00CE563E">
            <w:pPr>
              <w:pStyle w:val="BodyText"/>
            </w:pPr>
            <w:r w:rsidRPr="00CE563E">
              <w:t>This version first released with CPP Property Services Training Package Release 11.0.</w:t>
            </w:r>
          </w:p>
          <w:p w:rsidR="00000000" w:rsidRPr="00CE563E" w:rsidP="00CE563E">
            <w:pPr>
              <w:pStyle w:val="BodyText"/>
            </w:pPr>
            <w:r w:rsidRPr="00CE563E">
              <w:t>Supersedes and is not equivalent to:</w:t>
            </w:r>
          </w:p>
          <w:p w:rsidR="00000000" w:rsidRPr="00CE563E" w:rsidP="00CE563E">
            <w:pPr>
              <w:pStyle w:val="ListBullet"/>
            </w:pPr>
            <w:r w:rsidRPr="00CE563E">
              <w:t>C</w:t>
            </w:r>
            <w:r w:rsidRPr="00CE563E">
              <w:t>PPBDN5001A Research construction materials and methods for small-scale residential building design projects.</w:t>
            </w:r>
          </w:p>
          <w:p w:rsidR="00000000" w:rsidRPr="00CE563E" w:rsidP="00CE563E">
            <w:pPr>
              <w:pStyle w:val="ListBullet"/>
            </w:pPr>
            <w:r w:rsidRPr="00CE563E">
              <w:t>CPPBDN5002A Research construction materials and methods for small-scale non-residential building design projects.</w:t>
            </w:r>
          </w:p>
          <w:p w:rsidR="00000000" w:rsidRPr="00CE563E" w:rsidP="00CE563E">
            <w:pPr>
              <w:pStyle w:val="BodyText"/>
            </w:pPr>
            <w:r w:rsidRPr="00CE563E">
              <w:t>Updated to meet the Standards for Training Packages 2012.</w:t>
            </w:r>
          </w:p>
        </w:tc>
      </w:tr>
    </w:tbl>
    <w:p w:rsidR="00000000" w:rsidRPr="00CE563E" w:rsidP="00CE563E">
      <w:pPr>
        <w:pStyle w:val="BodyText"/>
      </w:pPr>
    </w:p>
    <w:p w:rsidR="00000000" w:rsidRPr="00CE563E" w:rsidP="00CE563E">
      <w:pPr>
        <w:pStyle w:val="AllowPageBreak"/>
      </w:pPr>
    </w:p>
    <w:p w:rsidR="00000000" w:rsidRPr="00CE563E" w:rsidP="00CE563E">
      <w:pPr>
        <w:pStyle w:val="Heading1"/>
      </w:pPr>
      <w:bookmarkStart w:id="10" w:name="O_1137865"/>
      <w:bookmarkEnd w:id="10"/>
      <w:r w:rsidRPr="00CE563E">
        <w:t>Performance Evidence</w:t>
      </w:r>
    </w:p>
    <w:p w:rsidR="00000000" w:rsidRPr="00CE563E" w:rsidP="00A85601">
      <w:pPr>
        <w:pStyle w:val="BodyText"/>
      </w:pPr>
      <w:r w:rsidRPr="00CE563E">
        <w:t>To demonstrate competency, a candidate must meet the performance criteria of this unit by evaluating and reporting on suitable construction materials, metho</w:t>
      </w:r>
      <w:r w:rsidRPr="00CE563E">
        <w:t>ds and services for two different building designs involving Class 2-9 buildings as defined in the National Construction Code (NCC). Of the two building designs:</w:t>
      </w:r>
    </w:p>
    <w:p w:rsidR="00000000" w:rsidRPr="00CE563E" w:rsidP="00CE563E">
      <w:pPr>
        <w:pStyle w:val="ListBullet"/>
      </w:pPr>
      <w:r w:rsidRPr="00CE563E">
        <w:t>each must be of a different NCC classification</w:t>
      </w:r>
    </w:p>
    <w:p w:rsidR="00000000" w:rsidRPr="00CE563E" w:rsidP="00CE563E">
      <w:pPr>
        <w:pStyle w:val="ListBullet"/>
      </w:pPr>
      <w:r w:rsidRPr="00CE563E">
        <w:t xml:space="preserve">one must be a Class 2 or 3 building. </w:t>
      </w:r>
    </w:p>
    <w:p w:rsidR="00000000" w:rsidRPr="00CE563E" w:rsidP="00CE563E">
      <w:pPr>
        <w:pStyle w:val="AllowPageBreak"/>
      </w:pPr>
    </w:p>
    <w:p w:rsidR="00000000" w:rsidRPr="00CE563E" w:rsidP="00CE563E">
      <w:pPr>
        <w:pStyle w:val="Heading1"/>
      </w:pPr>
      <w:bookmarkStart w:id="11" w:name="O_1137864"/>
      <w:bookmarkEnd w:id="11"/>
      <w:r w:rsidRPr="00CE563E">
        <w:t>Knowledge Evidence</w:t>
      </w:r>
    </w:p>
    <w:p w:rsidR="00000000" w:rsidRPr="00CE563E" w:rsidP="00A85601">
      <w:pPr>
        <w:pStyle w:val="BodyText"/>
      </w:pPr>
      <w:r w:rsidRPr="00CE563E">
        <w:t>To be competent in this unit, a candidate must demonstrate knowledge of:</w:t>
      </w:r>
    </w:p>
    <w:p w:rsidR="00000000" w:rsidRPr="00CE563E" w:rsidP="00CE563E">
      <w:pPr>
        <w:pStyle w:val="ListBullet"/>
      </w:pPr>
      <w:r w:rsidRPr="00CE563E">
        <w:t>relevant workplace, industry, work health and safety (WHS), legislative, regulatory and certification requirements</w:t>
      </w:r>
    </w:p>
    <w:p w:rsidR="00000000" w:rsidRPr="00CE563E" w:rsidP="00CE563E">
      <w:pPr>
        <w:pStyle w:val="ListBullet"/>
      </w:pPr>
      <w:r w:rsidRPr="00CE563E">
        <w:t>NCC building classifications a</w:t>
      </w:r>
      <w:r w:rsidRPr="00CE563E">
        <w:t>nd constructions types</w:t>
      </w:r>
    </w:p>
    <w:p w:rsidR="00000000" w:rsidRPr="00CE563E" w:rsidP="00CE563E">
      <w:pPr>
        <w:pStyle w:val="ListBullet"/>
      </w:pPr>
      <w:r w:rsidRPr="00CE563E">
        <w:t>correct terminology to define building construction and methodology</w:t>
      </w:r>
    </w:p>
    <w:p w:rsidR="00000000" w:rsidRPr="00CE563E" w:rsidP="00CE563E">
      <w:pPr>
        <w:pStyle w:val="ListBullet"/>
      </w:pPr>
      <w:r w:rsidRPr="00CE563E">
        <w:t>application, behaviour, characteristics, performance and interactions of construction materials and methods</w:t>
      </w:r>
    </w:p>
    <w:p w:rsidR="00000000" w:rsidRPr="00CE563E" w:rsidP="00CE563E">
      <w:pPr>
        <w:pStyle w:val="ListBullet"/>
      </w:pPr>
      <w:r w:rsidRPr="00CE563E">
        <w:t>construction methods and their strengths and weaknesses f</w:t>
      </w:r>
      <w:r w:rsidRPr="00CE563E">
        <w:t>or different geographical locations and climatic conditions</w:t>
      </w:r>
    </w:p>
    <w:p w:rsidR="00000000" w:rsidRPr="00CE563E" w:rsidP="00CE563E">
      <w:pPr>
        <w:pStyle w:val="ListBullet"/>
      </w:pPr>
      <w:r w:rsidRPr="00CE563E">
        <w:t>common hazards and risks of construction materials and methods</w:t>
      </w:r>
    </w:p>
    <w:p w:rsidR="00000000" w:rsidRPr="00CE563E" w:rsidP="00CE563E">
      <w:pPr>
        <w:pStyle w:val="ListBullet"/>
      </w:pPr>
      <w:r w:rsidRPr="00CE563E">
        <w:t xml:space="preserve">basic principles of structural engineering </w:t>
      </w:r>
    </w:p>
    <w:p w:rsidR="00000000" w:rsidRPr="00CE563E" w:rsidP="00CE563E">
      <w:pPr>
        <w:pStyle w:val="ListBullet"/>
      </w:pPr>
      <w:r w:rsidRPr="00CE563E">
        <w:t>sources of reliable information on traditional, contemporary and emerging uses of constru</w:t>
      </w:r>
      <w:r w:rsidRPr="00CE563E">
        <w:t>ction materials and methods</w:t>
      </w:r>
    </w:p>
    <w:p w:rsidR="00000000" w:rsidRPr="00CE563E" w:rsidP="00CE563E">
      <w:pPr>
        <w:pStyle w:val="ListBullet"/>
      </w:pPr>
      <w:r w:rsidRPr="00CE563E">
        <w:t>applicable characteristics of traditional, contemporary and emerging materials:</w:t>
      </w:r>
    </w:p>
    <w:p w:rsidR="00000000" w:rsidRPr="00CE563E" w:rsidP="00CE563E">
      <w:pPr>
        <w:pStyle w:val="ListBullet2"/>
      </w:pPr>
      <w:r w:rsidRPr="00CE563E">
        <w:t>acoustic properties</w:t>
      </w:r>
    </w:p>
    <w:p w:rsidR="00000000" w:rsidRPr="00CE563E" w:rsidP="00CE563E">
      <w:pPr>
        <w:pStyle w:val="ListBullet2"/>
      </w:pPr>
      <w:r w:rsidRPr="00CE563E">
        <w:t>aesthetic properties</w:t>
      </w:r>
    </w:p>
    <w:p w:rsidR="00000000" w:rsidRPr="00CE563E" w:rsidP="00CE563E">
      <w:pPr>
        <w:pStyle w:val="ListBullet2"/>
      </w:pPr>
      <w:r w:rsidRPr="00CE563E">
        <w:t>availability</w:t>
      </w:r>
    </w:p>
    <w:p w:rsidR="00000000" w:rsidRPr="00CE563E" w:rsidP="00CE563E">
      <w:pPr>
        <w:pStyle w:val="ListBullet2"/>
      </w:pPr>
      <w:r w:rsidRPr="00CE563E">
        <w:t xml:space="preserve">cost-effectiveness </w:t>
      </w:r>
    </w:p>
    <w:p w:rsidR="00000000" w:rsidRPr="00CE563E" w:rsidP="00CE563E">
      <w:pPr>
        <w:pStyle w:val="ListBullet2"/>
      </w:pPr>
      <w:r w:rsidRPr="00CE563E">
        <w:t>defects</w:t>
      </w:r>
    </w:p>
    <w:p w:rsidR="00000000" w:rsidRPr="00CE563E" w:rsidP="00CE563E">
      <w:pPr>
        <w:pStyle w:val="ListBullet2"/>
      </w:pPr>
      <w:r w:rsidRPr="00CE563E">
        <w:t>durability</w:t>
      </w:r>
    </w:p>
    <w:p w:rsidR="00000000" w:rsidRPr="00CE563E" w:rsidP="00CE563E">
      <w:pPr>
        <w:pStyle w:val="ListBullet2"/>
      </w:pPr>
      <w:r w:rsidRPr="00CE563E">
        <w:t xml:space="preserve">fire resistance </w:t>
      </w:r>
    </w:p>
    <w:p w:rsidR="00000000" w:rsidRPr="00CE563E" w:rsidP="00CE563E">
      <w:pPr>
        <w:pStyle w:val="ListBullet2"/>
      </w:pPr>
      <w:r w:rsidRPr="00CE563E">
        <w:t>interaction with other materials</w:t>
      </w:r>
    </w:p>
    <w:p w:rsidR="00000000" w:rsidRPr="00CE563E" w:rsidP="00CE563E">
      <w:pPr>
        <w:pStyle w:val="ListBullet2"/>
      </w:pPr>
      <w:r w:rsidRPr="00CE563E">
        <w:t>limitations due to manufacturing process</w:t>
      </w:r>
    </w:p>
    <w:p w:rsidR="00000000" w:rsidRPr="00CE563E" w:rsidP="00CE563E">
      <w:pPr>
        <w:pStyle w:val="ListBullet2"/>
      </w:pPr>
      <w:r w:rsidRPr="00CE563E">
        <w:t>structural safety</w:t>
      </w:r>
    </w:p>
    <w:p w:rsidR="00000000" w:rsidRPr="00CE563E" w:rsidP="00CE563E">
      <w:pPr>
        <w:pStyle w:val="ListBullet2"/>
      </w:pPr>
      <w:r w:rsidRPr="00CE563E">
        <w:t>sustainability features, such as energy efficiency, thermal properties and lifecycle</w:t>
      </w:r>
    </w:p>
    <w:p w:rsidR="00000000" w:rsidRPr="00CE563E" w:rsidP="00CE563E">
      <w:pPr>
        <w:pStyle w:val="ListBullet2"/>
      </w:pPr>
      <w:r w:rsidRPr="00CE563E">
        <w:t>tolerances</w:t>
      </w:r>
    </w:p>
    <w:p w:rsidR="00000000" w:rsidRPr="00CE563E" w:rsidP="00CE563E">
      <w:pPr>
        <w:pStyle w:val="ListBullet2"/>
      </w:pPr>
      <w:r w:rsidRPr="00CE563E">
        <w:t>transport, storage and handling requirements</w:t>
      </w:r>
    </w:p>
    <w:p w:rsidR="00000000" w:rsidRPr="00CE563E" w:rsidP="00CE563E">
      <w:pPr>
        <w:pStyle w:val="ListBullet"/>
      </w:pPr>
      <w:r w:rsidRPr="00CE563E">
        <w:t>site preparation requirements:</w:t>
      </w:r>
    </w:p>
    <w:p w:rsidR="00000000" w:rsidRPr="00CE563E" w:rsidP="00CE563E">
      <w:pPr>
        <w:pStyle w:val="ListBullet2"/>
      </w:pPr>
      <w:r w:rsidRPr="00CE563E">
        <w:t>shoring</w:t>
      </w:r>
    </w:p>
    <w:p w:rsidR="00000000" w:rsidRPr="00CE563E" w:rsidP="00CE563E">
      <w:pPr>
        <w:pStyle w:val="ListBullet2"/>
      </w:pPr>
      <w:r w:rsidRPr="00CE563E">
        <w:t>underpinning</w:t>
      </w:r>
    </w:p>
    <w:p w:rsidR="00000000" w:rsidRPr="00CE563E" w:rsidP="00CE563E">
      <w:pPr>
        <w:pStyle w:val="ListBullet2"/>
      </w:pPr>
      <w:r w:rsidRPr="00CE563E">
        <w:t>de-watering</w:t>
      </w:r>
    </w:p>
    <w:p w:rsidR="00000000" w:rsidRPr="00CE563E" w:rsidP="00CE563E">
      <w:pPr>
        <w:pStyle w:val="ListBullet2"/>
      </w:pPr>
      <w:r w:rsidRPr="00CE563E">
        <w:t>ground stabilisation</w:t>
      </w:r>
    </w:p>
    <w:p w:rsidR="00000000" w:rsidRPr="00CE563E" w:rsidP="00CE563E">
      <w:pPr>
        <w:pStyle w:val="ListBullet2"/>
      </w:pPr>
      <w:r w:rsidRPr="00CE563E">
        <w:t>retaining structures</w:t>
      </w:r>
    </w:p>
    <w:p w:rsidR="00000000" w:rsidRPr="00CE563E" w:rsidP="00CE563E">
      <w:pPr>
        <w:pStyle w:val="ListBullet"/>
      </w:pPr>
      <w:r w:rsidRPr="00CE563E">
        <w:t>sequencing of construction works</w:t>
      </w:r>
    </w:p>
    <w:p w:rsidR="00000000" w:rsidRPr="00CE563E" w:rsidP="00CE563E">
      <w:pPr>
        <w:pStyle w:val="ListBullet"/>
      </w:pPr>
      <w:r w:rsidRPr="00CE563E">
        <w:t>services:</w:t>
      </w:r>
    </w:p>
    <w:p w:rsidR="00000000" w:rsidRPr="00CE563E" w:rsidP="00CE563E">
      <w:pPr>
        <w:pStyle w:val="ListBullet2"/>
      </w:pPr>
      <w:r w:rsidRPr="00CE563E">
        <w:t>sewer</w:t>
      </w:r>
    </w:p>
    <w:p w:rsidR="00000000" w:rsidRPr="00CE563E" w:rsidP="00CE563E">
      <w:pPr>
        <w:pStyle w:val="ListBullet2"/>
      </w:pPr>
      <w:r w:rsidRPr="00CE563E">
        <w:t>stormwater</w:t>
      </w:r>
    </w:p>
    <w:p w:rsidR="00000000" w:rsidRPr="00CE563E" w:rsidP="00CE563E">
      <w:pPr>
        <w:pStyle w:val="ListBullet2"/>
      </w:pPr>
      <w:r w:rsidRPr="00CE563E">
        <w:t>domestic water supply</w:t>
      </w:r>
    </w:p>
    <w:p w:rsidR="00000000" w:rsidRPr="00CE563E" w:rsidP="00CE563E">
      <w:pPr>
        <w:pStyle w:val="ListBullet2"/>
      </w:pPr>
      <w:r w:rsidRPr="00CE563E">
        <w:t>electrical and data</w:t>
      </w:r>
    </w:p>
    <w:p w:rsidR="00000000" w:rsidRPr="00CE563E" w:rsidP="00CE563E">
      <w:pPr>
        <w:pStyle w:val="ListBullet2"/>
      </w:pPr>
      <w:r w:rsidRPr="00CE563E">
        <w:t>fire protection systems</w:t>
      </w:r>
    </w:p>
    <w:p w:rsidR="00000000" w:rsidRPr="00CE563E" w:rsidP="00CE563E">
      <w:pPr>
        <w:pStyle w:val="ListBullet2"/>
      </w:pPr>
      <w:r w:rsidRPr="00CE563E">
        <w:t>heating, ventilation and air conditioning</w:t>
      </w:r>
    </w:p>
    <w:p w:rsidR="00000000" w:rsidRPr="00CE563E" w:rsidP="00CE563E">
      <w:pPr>
        <w:pStyle w:val="ListBullet2"/>
      </w:pPr>
      <w:r w:rsidRPr="00CE563E">
        <w:t>lifts</w:t>
      </w:r>
    </w:p>
    <w:p w:rsidR="00000000" w:rsidRPr="00CE563E" w:rsidP="00CE563E">
      <w:pPr>
        <w:pStyle w:val="ListBullet2"/>
      </w:pPr>
      <w:r w:rsidRPr="00CE563E">
        <w:t>artificial lighting.</w:t>
      </w:r>
    </w:p>
    <w:p w:rsidR="00000000" w:rsidRPr="00CE563E" w:rsidP="00CE563E">
      <w:pPr>
        <w:pStyle w:val="AllowPageBreak"/>
      </w:pPr>
    </w:p>
    <w:p w:rsidR="00000000" w:rsidRPr="00CE563E" w:rsidP="00CE563E">
      <w:pPr>
        <w:pStyle w:val="Heading1"/>
      </w:pPr>
      <w:bookmarkStart w:id="12" w:name="O_1137863"/>
      <w:bookmarkEnd w:id="12"/>
      <w:r w:rsidRPr="00CE563E">
        <w:t>Assessment Conditions</w:t>
      </w:r>
    </w:p>
    <w:p w:rsidR="00000000" w:rsidRPr="00CE563E" w:rsidP="00A85601">
      <w:pPr>
        <w:pStyle w:val="BodyText"/>
      </w:pPr>
      <w:r w:rsidRPr="00CE563E">
        <w:t>Assessors must meet the requirements for assessors contained in the Standards for Registered Training Organisations. Competency is to be assessed in the workplace or a simulated environment that accurately reflects p</w:t>
      </w:r>
      <w:r w:rsidRPr="00CE563E">
        <w:t>erformance in a real workplace setting where these skills and knowledge would be performed. This includes access to:</w:t>
      </w:r>
    </w:p>
    <w:p w:rsidR="00000000" w:rsidRPr="00CE563E" w:rsidP="00CE563E">
      <w:pPr>
        <w:pStyle w:val="ListBullet"/>
      </w:pPr>
      <w:r w:rsidRPr="00CE563E">
        <w:t>computer with internet access and word processing software</w:t>
      </w:r>
    </w:p>
    <w:p w:rsidR="00000000" w:rsidRPr="00CE563E" w:rsidP="00CE563E">
      <w:pPr>
        <w:pStyle w:val="ListBullet"/>
      </w:pPr>
      <w:r w:rsidRPr="00CE563E">
        <w:t xml:space="preserve">relevant regulations, codes and standards </w:t>
      </w:r>
    </w:p>
    <w:p w:rsidR="00000000" w:rsidRPr="00CE563E" w:rsidP="00CE563E">
      <w:pPr>
        <w:pStyle w:val="ListBullet"/>
      </w:pPr>
      <w:r w:rsidRPr="00CE563E">
        <w:t>technical references with current in</w:t>
      </w:r>
      <w:r w:rsidRPr="00CE563E">
        <w:t>formation on construction materials and methods</w:t>
      </w:r>
    </w:p>
    <w:p w:rsidR="00000000" w:rsidRPr="00CE563E" w:rsidP="00CE563E">
      <w:pPr>
        <w:pStyle w:val="ListBullet"/>
      </w:pPr>
      <w:r w:rsidRPr="00CE563E">
        <w:t>drafting equipment for computer or hand detail sketching.</w:t>
      </w:r>
    </w:p>
    <w:p w:rsidR="00000000" w:rsidRPr="00CE563E" w:rsidP="00CE563E">
      <w:pPr>
        <w:pStyle w:val="AllowPageBreak"/>
      </w:pPr>
    </w:p>
    <w:p w:rsidR="00000000" w:rsidRPr="00CE563E" w:rsidP="00CE563E">
      <w:pPr>
        <w:pStyle w:val="Heading1"/>
      </w:pPr>
      <w:bookmarkStart w:id="13" w:name="O_1137861"/>
      <w:bookmarkEnd w:id="13"/>
      <w:r w:rsidRPr="00CE563E">
        <w:t>Links</w:t>
      </w:r>
    </w:p>
    <w:p w:rsidR="00000000" w:rsidRPr="00CE563E" w:rsidP="00A85601">
      <w:pPr>
        <w:pStyle w:val="BodyText"/>
      </w:pPr>
      <w:r w:rsidRPr="00CE563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D0E0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E563E" w:rsidP="00CE563E"/>
    <w:sectPr w:rsidSect="00CE56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6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63E" w:rsidRPr="00A85601" w:rsidP="00A856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6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601" w:rsidP="00CE5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85601" w:rsidP="00CE5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85601" w:rsidP="00CE56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63E" w:rsidP="00CE5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5601">
      <w:t>Approved</w:t>
    </w:r>
    <w:r w:rsidR="00A856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560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5601">
      <w:rPr>
        <w:noProof/>
      </w:rPr>
      <w:t>5</w:t>
    </w:r>
    <w:r>
      <w:rPr>
        <w:noProof/>
      </w:rPr>
      <w:fldChar w:fldCharType="end"/>
    </w:r>
  </w:p>
  <w:p w:rsidR="00CE563E" w:rsidP="00CE5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56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5601">
      <w:t>BuildSkills Australia</w:t>
    </w:r>
    <w:r w:rsidR="00A85601">
      <w:fldChar w:fldCharType="end"/>
    </w:r>
  </w:p>
  <w:p w:rsidR="00CE563E" w:rsidP="00CE56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6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6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63E" w:rsidRPr="00A85601" w:rsidP="00A856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6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601" w:rsidRPr="002D2AF8" w:rsidP="00CE5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CPPBDN5105 Evaluate construction materials and methods for Class 2-9 buildings up to two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5601" w:rsidP="00CE56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63E" w:rsidRPr="002D2AF8" w:rsidP="00CE5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5601">
      <w:t>CPPBDN5105 Evaluate construction materials and methods for Class 2-9 buildings up to two storeys</w:t>
    </w:r>
    <w:r w:rsidR="00A856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5601">
      <w:rPr>
        <w:noProof/>
      </w:rPr>
      <w:t>2 March 2025</w:t>
    </w:r>
    <w:r>
      <w:fldChar w:fldCharType="end"/>
    </w:r>
  </w:p>
  <w:p w:rsidR="00CE563E" w:rsidP="00CE56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8EAA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F273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4425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6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6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6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6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6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6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6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6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6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6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6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63E"/>
  </w:style>
  <w:style w:type="character" w:customStyle="1" w:styleId="Heading1Char">
    <w:name w:val="Heading 1 Char"/>
    <w:basedOn w:val="DefaultParagraphFont"/>
    <w:link w:val="Heading1"/>
    <w:rsid w:val="00CE56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6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6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56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56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56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6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CE563E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CE56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6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6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6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6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6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6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6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6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6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6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6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6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6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6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6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563E"/>
    <w:rPr>
      <w:b/>
      <w:spacing w:val="0"/>
    </w:rPr>
  </w:style>
  <w:style w:type="paragraph" w:customStyle="1" w:styleId="SuperTitle">
    <w:name w:val="SuperTitle"/>
    <w:basedOn w:val="Title"/>
    <w:rsid w:val="00CE56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6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6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56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6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6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6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6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6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6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6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6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563E"/>
    <w:rPr>
      <w:i/>
    </w:rPr>
  </w:style>
  <w:style w:type="paragraph" w:styleId="Caption">
    <w:name w:val="caption"/>
    <w:basedOn w:val="BodyText"/>
    <w:next w:val="Normal"/>
    <w:qFormat/>
    <w:rsid w:val="00CE56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6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6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63E"/>
  </w:style>
  <w:style w:type="paragraph" w:styleId="TableofFigures">
    <w:name w:val="table of figures"/>
    <w:basedOn w:val="Normal"/>
    <w:next w:val="Normal"/>
    <w:semiHidden/>
    <w:rsid w:val="00CE56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6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563E"/>
    <w:rPr>
      <w:rFonts w:ascii="Wingdings" w:hAnsi="Wingdings"/>
    </w:rPr>
  </w:style>
  <w:style w:type="paragraph" w:customStyle="1" w:styleId="TableHeading">
    <w:name w:val="Table Heading"/>
    <w:basedOn w:val="HeadingBase"/>
    <w:rsid w:val="00CE56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63E"/>
    <w:rPr>
      <w:color w:val="0033CC"/>
      <w:u w:val="none"/>
    </w:rPr>
  </w:style>
  <w:style w:type="paragraph" w:customStyle="1" w:styleId="BodyTextRight">
    <w:name w:val="Body Text Right"/>
    <w:basedOn w:val="BodyText"/>
    <w:rsid w:val="00CE56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6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6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6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6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6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63E"/>
    <w:rPr>
      <w:sz w:val="32"/>
    </w:rPr>
  </w:style>
  <w:style w:type="paragraph" w:customStyle="1" w:styleId="HeadingProcedure">
    <w:name w:val="Heading Procedure"/>
    <w:basedOn w:val="HeadingBase"/>
    <w:next w:val="Normal"/>
    <w:rsid w:val="00CE56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63E"/>
    <w:pPr>
      <w:spacing w:before="60" w:after="60"/>
    </w:pPr>
  </w:style>
  <w:style w:type="paragraph" w:styleId="ListContinue">
    <w:name w:val="List Continue"/>
    <w:basedOn w:val="List"/>
    <w:rsid w:val="00CE563E"/>
    <w:pPr>
      <w:ind w:firstLine="0"/>
    </w:pPr>
  </w:style>
  <w:style w:type="paragraph" w:customStyle="1" w:styleId="ListNote">
    <w:name w:val="List Note"/>
    <w:basedOn w:val="List"/>
    <w:rsid w:val="00CE56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6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6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63E"/>
    <w:rPr>
      <w:rFonts w:ascii="Courier New" w:hAnsi="Courier New"/>
    </w:rPr>
  </w:style>
  <w:style w:type="paragraph" w:customStyle="1" w:styleId="NoteBullet">
    <w:name w:val="Note Bullet"/>
    <w:basedOn w:val="Note"/>
    <w:rsid w:val="00CE56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6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6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6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6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56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6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63E"/>
    <w:rPr>
      <w:b/>
      <w:smallCaps/>
    </w:rPr>
  </w:style>
  <w:style w:type="paragraph" w:customStyle="1" w:styleId="TableListNumber">
    <w:name w:val="Table List Number"/>
    <w:basedOn w:val="ListNumber"/>
    <w:rsid w:val="00CE56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6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63E"/>
    <w:pPr>
      <w:numPr>
        <w:numId w:val="9"/>
      </w:numPr>
    </w:pPr>
  </w:style>
  <w:style w:type="paragraph" w:customStyle="1" w:styleId="ListAlpha2">
    <w:name w:val="List Alpha 2"/>
    <w:basedOn w:val="List2"/>
    <w:rsid w:val="00CE563E"/>
    <w:pPr>
      <w:numPr>
        <w:numId w:val="8"/>
      </w:numPr>
    </w:pPr>
  </w:style>
  <w:style w:type="paragraph" w:styleId="List2">
    <w:name w:val="List 2"/>
    <w:basedOn w:val="BodyText"/>
    <w:rsid w:val="00CE56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6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6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6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6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6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563E"/>
    <w:pPr>
      <w:numPr>
        <w:numId w:val="4"/>
      </w:numPr>
    </w:pPr>
  </w:style>
  <w:style w:type="paragraph" w:styleId="ListContinue2">
    <w:name w:val="List Continue 2"/>
    <w:basedOn w:val="List2"/>
    <w:rsid w:val="00CE563E"/>
    <w:pPr>
      <w:ind w:firstLine="0"/>
    </w:pPr>
  </w:style>
  <w:style w:type="paragraph" w:styleId="ListContinue3">
    <w:name w:val="List Continue 3"/>
    <w:basedOn w:val="List3"/>
    <w:rsid w:val="00CE563E"/>
    <w:pPr>
      <w:ind w:left="1021" w:firstLine="0"/>
    </w:pPr>
  </w:style>
  <w:style w:type="paragraph" w:styleId="ListContinue4">
    <w:name w:val="List Continue 4"/>
    <w:basedOn w:val="List4"/>
    <w:rsid w:val="00CE563E"/>
    <w:pPr>
      <w:ind w:firstLine="0"/>
    </w:pPr>
  </w:style>
  <w:style w:type="paragraph" w:styleId="ListContinue5">
    <w:name w:val="List Continue 5"/>
    <w:basedOn w:val="List5"/>
    <w:rsid w:val="00CE563E"/>
    <w:pPr>
      <w:ind w:firstLine="0"/>
    </w:pPr>
  </w:style>
  <w:style w:type="paragraph" w:styleId="ListNumber3">
    <w:name w:val="List Number 3"/>
    <w:basedOn w:val="List3"/>
    <w:rsid w:val="00CE563E"/>
    <w:pPr>
      <w:numPr>
        <w:numId w:val="5"/>
      </w:numPr>
    </w:pPr>
  </w:style>
  <w:style w:type="paragraph" w:styleId="ListNumber4">
    <w:name w:val="List Number 4"/>
    <w:basedOn w:val="List4"/>
    <w:rsid w:val="00CE563E"/>
    <w:pPr>
      <w:numPr>
        <w:numId w:val="6"/>
      </w:numPr>
    </w:pPr>
  </w:style>
  <w:style w:type="paragraph" w:styleId="ListNumber5">
    <w:name w:val="List Number 5"/>
    <w:basedOn w:val="List5"/>
    <w:rsid w:val="00CE563E"/>
    <w:pPr>
      <w:numPr>
        <w:numId w:val="7"/>
      </w:numPr>
    </w:pPr>
  </w:style>
  <w:style w:type="paragraph" w:styleId="BlockText">
    <w:name w:val="Block Text"/>
    <w:basedOn w:val="Normal"/>
    <w:rsid w:val="00CE56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63E"/>
    <w:rPr>
      <w:sz w:val="16"/>
      <w:vertAlign w:val="subscript"/>
    </w:rPr>
  </w:style>
  <w:style w:type="character" w:customStyle="1" w:styleId="Symbols">
    <w:name w:val="Symbols"/>
    <w:basedOn w:val="DefaultParagraphFont"/>
    <w:rsid w:val="00CE563E"/>
    <w:rPr>
      <w:rFonts w:ascii="Symbol" w:hAnsi="Symbol"/>
    </w:rPr>
  </w:style>
  <w:style w:type="character" w:customStyle="1" w:styleId="MenuOptions">
    <w:name w:val="Menu Options"/>
    <w:basedOn w:val="DefaultParagraphFont"/>
    <w:rsid w:val="00CE56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63E"/>
    <w:rPr>
      <w:b/>
    </w:rPr>
  </w:style>
  <w:style w:type="character" w:customStyle="1" w:styleId="Underlined">
    <w:name w:val="Underlined"/>
    <w:basedOn w:val="DefaultParagraphFont"/>
    <w:rsid w:val="00CE563E"/>
    <w:rPr>
      <w:u w:val="single"/>
    </w:rPr>
  </w:style>
  <w:style w:type="paragraph" w:customStyle="1" w:styleId="TableBodyTextRight">
    <w:name w:val="Table Body Text Right"/>
    <w:basedOn w:val="TableBodyText"/>
    <w:rsid w:val="00CE56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63E"/>
    <w:rPr>
      <w:sz w:val="18"/>
    </w:rPr>
  </w:style>
  <w:style w:type="paragraph" w:customStyle="1" w:styleId="BodySmallRight">
    <w:name w:val="Body Small Right"/>
    <w:basedOn w:val="BodyTextRight"/>
    <w:rsid w:val="00CE563E"/>
    <w:rPr>
      <w:sz w:val="18"/>
      <w:szCs w:val="18"/>
    </w:rPr>
  </w:style>
  <w:style w:type="paragraph" w:customStyle="1" w:styleId="MarginEdition">
    <w:name w:val="Margin Edition"/>
    <w:basedOn w:val="MarginNote"/>
    <w:rsid w:val="00CE56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63E"/>
    <w:rPr>
      <w:sz w:val="2"/>
      <w:szCs w:val="2"/>
    </w:rPr>
  </w:style>
  <w:style w:type="character" w:customStyle="1" w:styleId="Small">
    <w:name w:val="Small"/>
    <w:basedOn w:val="DefaultParagraphFont"/>
    <w:rsid w:val="00CE563E"/>
    <w:rPr>
      <w:sz w:val="16"/>
    </w:rPr>
  </w:style>
  <w:style w:type="paragraph" w:customStyle="1" w:styleId="WideTable">
    <w:name w:val="Wide Table"/>
    <w:basedOn w:val="Normal"/>
    <w:rsid w:val="00CE56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63E"/>
  </w:style>
  <w:style w:type="paragraph" w:styleId="Quote">
    <w:name w:val="Quote"/>
    <w:basedOn w:val="Heading1"/>
    <w:link w:val="QuoteChar"/>
    <w:qFormat/>
    <w:rsid w:val="00CE56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6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63E"/>
    <w:pPr>
      <w:pageBreakBefore/>
    </w:pPr>
  </w:style>
  <w:style w:type="paragraph" w:customStyle="1" w:styleId="Border">
    <w:name w:val="Border"/>
    <w:basedOn w:val="Normal"/>
    <w:qFormat/>
    <w:rsid w:val="00CE56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6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6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6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6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6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6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6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6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63E"/>
    <w:rPr>
      <w:u w:val="single"/>
    </w:rPr>
  </w:style>
  <w:style w:type="character" w:customStyle="1" w:styleId="BoldandItalics">
    <w:name w:val="Bold and Italics"/>
    <w:qFormat/>
    <w:rsid w:val="00CE563E"/>
    <w:rPr>
      <w:b/>
      <w:i/>
      <w:u w:val="none"/>
    </w:rPr>
  </w:style>
  <w:style w:type="paragraph" w:styleId="BalloonText">
    <w:name w:val="Balloon Text"/>
    <w:basedOn w:val="Normal"/>
    <w:link w:val="BalloonTextChar"/>
    <w:rsid w:val="00CE5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6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6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6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6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6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63E"/>
    <w:pPr>
      <w:spacing w:before="0" w:after="0"/>
    </w:pPr>
  </w:style>
  <w:style w:type="paragraph" w:customStyle="1" w:styleId="BodyTextBold">
    <w:name w:val="Body Text Bold"/>
    <w:basedOn w:val="BodyText"/>
    <w:qFormat/>
    <w:rsid w:val="00CE563E"/>
    <w:rPr>
      <w:b/>
    </w:rPr>
  </w:style>
  <w:style w:type="character" w:styleId="Hyperlink">
    <w:name w:val="Hyperlink"/>
    <w:basedOn w:val="DefaultParagraphFont"/>
    <w:uiPriority w:val="99"/>
    <w:unhideWhenUsed/>
    <w:rsid w:val="00A856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1187</Words>
  <Characters>7791</Characters>
  <Application>Microsoft Office Word</Application>
  <DocSecurity>0</DocSecurity>
  <Lines>311</Lines>
  <Paragraphs>176</Paragraphs>
  <ScaleCrop>false</ScaleCrop>
  <Company>Author-it Software Corporation Ltd.</Company>
  <LinksUpToDate>false</LinksUpToDate>
  <CharactersWithSpaces>8802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CPPBDN5105 Evaluate construction materials and methods for Class 2-9 buildings up to two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2025-03-01T15:59:00Z</dcterms:created>
  <dcterms:modified xsi:type="dcterms:W3CDTF">2025-03-01T15:59:00Z</dcterms:modified>
</cp:coreProperties>
</file>