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F63" w:rsidP="00821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CPPBDN5105 Evaluate construction materials and methods for Class 2-9 buildings up to two storeys</w:t>
      </w:r>
      <w:r>
        <w:fldChar w:fldCharType="end"/>
      </w:r>
    </w:p>
    <w:p w:rsidR="00821F63" w:rsidP="00821F63">
      <w:pPr>
        <w:pStyle w:val="Version"/>
        <w:sectPr w:rsidSect="00EB4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7C4" w:rsidP="00EB47C4">
      <w:pPr>
        <w:pStyle w:val="SuperHeading"/>
      </w:pPr>
      <w:r w:rsidRPr="00EB47C4">
        <w:t>Assessment Requirements for CPPBDN5105 Evaluate construction materials and methods for Class 2-9 buildings up to two storeys</w:t>
      </w:r>
    </w:p>
    <w:p w:rsidR="00000000" w:rsidRPr="00EB47C4" w:rsidP="00EB47C4">
      <w:pPr>
        <w:pStyle w:val="Heading1"/>
      </w:pPr>
      <w:bookmarkStart w:id="1" w:name="O_1137862"/>
      <w:bookmarkEnd w:id="1"/>
      <w:r w:rsidRPr="00EB47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4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C4">
            <w:pPr>
              <w:pStyle w:val="BodyText"/>
              <w:rPr>
                <w:lang w:val="en-NZ"/>
              </w:rPr>
            </w:pPr>
            <w:r w:rsidRPr="00EB47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C4" w:rsidP="00EB47C4">
            <w:pPr>
              <w:pStyle w:val="BodyText"/>
            </w:pPr>
            <w:r w:rsidRPr="00EB47C4">
              <w:t>This version first released with CPP Property Services Training Package Release 11.0.</w:t>
            </w:r>
          </w:p>
          <w:p w:rsidR="00000000" w:rsidRPr="00EB47C4" w:rsidP="00EB47C4">
            <w:pPr>
              <w:pStyle w:val="BodyText"/>
            </w:pPr>
            <w:r w:rsidRPr="00EB47C4">
              <w:t>Supersedes and is not equivalent to:</w:t>
            </w:r>
          </w:p>
          <w:p w:rsidR="00000000" w:rsidRPr="00EB47C4" w:rsidP="00EB47C4">
            <w:pPr>
              <w:pStyle w:val="ListBullet"/>
            </w:pPr>
            <w:r w:rsidRPr="00EB47C4">
              <w:t>CPPBDN5001A Research construction materials and methods for small-scale residential building design projects.</w:t>
            </w:r>
          </w:p>
          <w:p w:rsidR="00000000" w:rsidRPr="00EB47C4" w:rsidP="00EB47C4">
            <w:pPr>
              <w:pStyle w:val="ListBullet"/>
            </w:pPr>
            <w:r w:rsidRPr="00EB47C4">
              <w:t>CPPBDN5002A Research c</w:t>
            </w:r>
            <w:r w:rsidRPr="00EB47C4">
              <w:t>onstruction materials and methods for small-scale non-residential building design projects.</w:t>
            </w:r>
          </w:p>
          <w:p w:rsidR="00000000" w:rsidRPr="00EB47C4" w:rsidP="00EB47C4">
            <w:pPr>
              <w:pStyle w:val="BodyText"/>
            </w:pPr>
            <w:r w:rsidRPr="00EB47C4">
              <w:t>Updated to meet the Standards for Training Packages 2012.</w:t>
            </w:r>
          </w:p>
        </w:tc>
      </w:tr>
    </w:tbl>
    <w:p w:rsidR="00000000" w:rsidRPr="00EB47C4" w:rsidP="00EB47C4">
      <w:pPr>
        <w:pStyle w:val="BodyText"/>
      </w:pPr>
    </w:p>
    <w:p w:rsidR="00000000" w:rsidRPr="00EB47C4" w:rsidP="00EB47C4">
      <w:pPr>
        <w:pStyle w:val="AllowPageBreak"/>
      </w:pPr>
    </w:p>
    <w:p w:rsidR="00000000" w:rsidRPr="00EB47C4" w:rsidP="00EB47C4">
      <w:pPr>
        <w:pStyle w:val="Heading1"/>
      </w:pPr>
      <w:bookmarkStart w:id="2" w:name="O_1137865"/>
      <w:bookmarkEnd w:id="2"/>
      <w:r w:rsidRPr="00EB47C4">
        <w:t>Performance Evidence</w:t>
      </w:r>
    </w:p>
    <w:p w:rsidR="00000000" w:rsidRPr="00EB47C4" w:rsidP="00821F63">
      <w:pPr>
        <w:pStyle w:val="BodyText"/>
      </w:pPr>
      <w:r w:rsidRPr="00EB47C4">
        <w:t>To demonstrate competency, a candidate must meet the performance</w:t>
      </w:r>
      <w:r w:rsidRPr="00EB47C4">
        <w:t xml:space="preserve"> criteria of this unit by evaluating and reporting on suitable construction materials, methods and services for two different building designs involving Class 2-9 buildings as defined in the National Construction Code (NCC). Of the two building designs:</w:t>
      </w:r>
    </w:p>
    <w:p w:rsidR="00000000" w:rsidRPr="00EB47C4" w:rsidP="00EB47C4">
      <w:pPr>
        <w:pStyle w:val="ListBullet"/>
      </w:pPr>
      <w:r w:rsidRPr="00EB47C4">
        <w:t>e</w:t>
      </w:r>
      <w:r w:rsidRPr="00EB47C4">
        <w:t>ach must be of a different NCC classification</w:t>
      </w:r>
    </w:p>
    <w:p w:rsidR="00000000" w:rsidRPr="00EB47C4" w:rsidP="00EB47C4">
      <w:pPr>
        <w:pStyle w:val="ListBullet"/>
      </w:pPr>
      <w:r w:rsidRPr="00EB47C4">
        <w:t xml:space="preserve">one must be a Class 2 or 3 building. </w:t>
      </w:r>
    </w:p>
    <w:p w:rsidR="00000000" w:rsidRPr="00EB47C4" w:rsidP="00EB47C4">
      <w:pPr>
        <w:pStyle w:val="AllowPageBreak"/>
      </w:pPr>
    </w:p>
    <w:p w:rsidR="00000000" w:rsidRPr="00EB47C4" w:rsidP="00EB47C4">
      <w:pPr>
        <w:pStyle w:val="Heading1"/>
      </w:pPr>
      <w:bookmarkStart w:id="3" w:name="O_1137864"/>
      <w:bookmarkEnd w:id="3"/>
      <w:r w:rsidRPr="00EB47C4">
        <w:t>Knowledge Evidence</w:t>
      </w:r>
    </w:p>
    <w:p w:rsidR="00000000" w:rsidRPr="00EB47C4" w:rsidP="00821F63">
      <w:pPr>
        <w:pStyle w:val="BodyText"/>
      </w:pPr>
      <w:r w:rsidRPr="00EB47C4">
        <w:t>To be competent in this unit, a candidate must demonstrate knowledge of:</w:t>
      </w:r>
    </w:p>
    <w:p w:rsidR="00000000" w:rsidRPr="00EB47C4" w:rsidP="00EB47C4">
      <w:pPr>
        <w:pStyle w:val="ListBullet"/>
      </w:pPr>
      <w:r w:rsidRPr="00EB47C4">
        <w:t>relevant workplace, industry, work health and safety (WHS), legislative, regulatory and certification requirements</w:t>
      </w:r>
    </w:p>
    <w:p w:rsidR="00000000" w:rsidRPr="00EB47C4" w:rsidP="00EB47C4">
      <w:pPr>
        <w:pStyle w:val="ListBullet"/>
      </w:pPr>
      <w:r w:rsidRPr="00EB47C4">
        <w:t>NCC building classifications and constructions types</w:t>
      </w:r>
    </w:p>
    <w:p w:rsidR="00000000" w:rsidRPr="00EB47C4" w:rsidP="00EB47C4">
      <w:pPr>
        <w:pStyle w:val="ListBullet"/>
      </w:pPr>
      <w:r w:rsidRPr="00EB47C4">
        <w:t>correct terminology to define building construction and methodology</w:t>
      </w:r>
    </w:p>
    <w:p w:rsidR="00000000" w:rsidRPr="00EB47C4" w:rsidP="00EB47C4">
      <w:pPr>
        <w:pStyle w:val="ListBullet"/>
      </w:pPr>
      <w:r w:rsidRPr="00EB47C4">
        <w:t>application, behavio</w:t>
      </w:r>
      <w:r w:rsidRPr="00EB47C4">
        <w:t>ur, characteristics, performance and interactions of construction materials and methods</w:t>
      </w:r>
    </w:p>
    <w:p w:rsidR="00000000" w:rsidRPr="00EB47C4" w:rsidP="00EB47C4">
      <w:pPr>
        <w:pStyle w:val="ListBullet"/>
      </w:pPr>
      <w:r w:rsidRPr="00EB47C4">
        <w:t>construction methods and their strengths and weaknesses for different geographical locations and climatic conditions</w:t>
      </w:r>
    </w:p>
    <w:p w:rsidR="00000000" w:rsidRPr="00EB47C4" w:rsidP="00EB47C4">
      <w:pPr>
        <w:pStyle w:val="ListBullet"/>
      </w:pPr>
      <w:r w:rsidRPr="00EB47C4">
        <w:t xml:space="preserve">common hazards and risks of construction materials </w:t>
      </w:r>
      <w:r w:rsidRPr="00EB47C4">
        <w:t>and methods</w:t>
      </w:r>
    </w:p>
    <w:p w:rsidR="00000000" w:rsidRPr="00EB47C4" w:rsidP="00EB47C4">
      <w:pPr>
        <w:pStyle w:val="ListBullet"/>
      </w:pPr>
      <w:r w:rsidRPr="00EB47C4">
        <w:t xml:space="preserve">basic principles of structural engineering </w:t>
      </w:r>
    </w:p>
    <w:p w:rsidR="00000000" w:rsidRPr="00EB47C4" w:rsidP="00EB47C4">
      <w:pPr>
        <w:pStyle w:val="ListBullet"/>
      </w:pPr>
      <w:r w:rsidRPr="00EB47C4">
        <w:t>sources of reliable information on traditional, contemporary and emerging uses of construction materials and methods</w:t>
      </w:r>
    </w:p>
    <w:p w:rsidR="00000000" w:rsidRPr="00EB47C4" w:rsidP="00EB47C4">
      <w:pPr>
        <w:pStyle w:val="ListBullet"/>
      </w:pPr>
      <w:r w:rsidRPr="00EB47C4">
        <w:t>applicable characteristics of traditional, contemporary and emerging materials:</w:t>
      </w:r>
    </w:p>
    <w:p w:rsidR="00000000" w:rsidRPr="00EB47C4" w:rsidP="00EB47C4">
      <w:pPr>
        <w:pStyle w:val="ListBullet2"/>
      </w:pPr>
      <w:r w:rsidRPr="00EB47C4">
        <w:t>ac</w:t>
      </w:r>
      <w:r w:rsidRPr="00EB47C4">
        <w:t>oustic properties</w:t>
      </w:r>
    </w:p>
    <w:p w:rsidR="00000000" w:rsidRPr="00EB47C4" w:rsidP="00EB47C4">
      <w:pPr>
        <w:pStyle w:val="ListBullet2"/>
      </w:pPr>
      <w:r w:rsidRPr="00EB47C4">
        <w:t>aesthetic properties</w:t>
      </w:r>
    </w:p>
    <w:p w:rsidR="00000000" w:rsidRPr="00EB47C4" w:rsidP="00EB47C4">
      <w:pPr>
        <w:pStyle w:val="ListBullet2"/>
      </w:pPr>
      <w:r w:rsidRPr="00EB47C4">
        <w:t>availability</w:t>
      </w:r>
    </w:p>
    <w:p w:rsidR="00000000" w:rsidRPr="00EB47C4" w:rsidP="00EB47C4">
      <w:pPr>
        <w:pStyle w:val="ListBullet2"/>
      </w:pPr>
      <w:r w:rsidRPr="00EB47C4">
        <w:t xml:space="preserve">cost-effectiveness </w:t>
      </w:r>
    </w:p>
    <w:p w:rsidR="00000000" w:rsidRPr="00EB47C4" w:rsidP="00EB47C4">
      <w:pPr>
        <w:pStyle w:val="ListBullet2"/>
      </w:pPr>
      <w:r w:rsidRPr="00EB47C4">
        <w:t>defects</w:t>
      </w:r>
    </w:p>
    <w:p w:rsidR="00000000" w:rsidRPr="00EB47C4" w:rsidP="00EB47C4">
      <w:pPr>
        <w:pStyle w:val="ListBullet2"/>
      </w:pPr>
      <w:r w:rsidRPr="00EB47C4">
        <w:t>durability</w:t>
      </w:r>
    </w:p>
    <w:p w:rsidR="00000000" w:rsidRPr="00EB47C4" w:rsidP="00EB47C4">
      <w:pPr>
        <w:pStyle w:val="ListBullet2"/>
      </w:pPr>
      <w:r w:rsidRPr="00EB47C4">
        <w:t xml:space="preserve">fire resistance </w:t>
      </w:r>
    </w:p>
    <w:p w:rsidR="00000000" w:rsidRPr="00EB47C4" w:rsidP="00EB47C4">
      <w:pPr>
        <w:pStyle w:val="ListBullet2"/>
      </w:pPr>
      <w:r w:rsidRPr="00EB47C4">
        <w:t>interaction with other materials</w:t>
      </w:r>
    </w:p>
    <w:p w:rsidR="00000000" w:rsidRPr="00EB47C4" w:rsidP="00EB47C4">
      <w:pPr>
        <w:pStyle w:val="ListBullet2"/>
      </w:pPr>
      <w:r w:rsidRPr="00EB47C4">
        <w:t>limitations due to manufacturing process</w:t>
      </w:r>
    </w:p>
    <w:p w:rsidR="00000000" w:rsidRPr="00EB47C4" w:rsidP="00EB47C4">
      <w:pPr>
        <w:pStyle w:val="ListBullet2"/>
      </w:pPr>
      <w:r w:rsidRPr="00EB47C4">
        <w:t>structural safety</w:t>
      </w:r>
    </w:p>
    <w:p w:rsidR="00000000" w:rsidRPr="00EB47C4" w:rsidP="00EB47C4">
      <w:pPr>
        <w:pStyle w:val="ListBullet2"/>
      </w:pPr>
      <w:r w:rsidRPr="00EB47C4">
        <w:t>sustainability features, such as energy efficiency, thermal properties and lifecycle</w:t>
      </w:r>
    </w:p>
    <w:p w:rsidR="00000000" w:rsidRPr="00EB47C4" w:rsidP="00EB47C4">
      <w:pPr>
        <w:pStyle w:val="ListBullet2"/>
      </w:pPr>
      <w:r w:rsidRPr="00EB47C4">
        <w:t>tolerances</w:t>
      </w:r>
    </w:p>
    <w:p w:rsidR="00000000" w:rsidRPr="00EB47C4" w:rsidP="00EB47C4">
      <w:pPr>
        <w:pStyle w:val="ListBullet2"/>
      </w:pPr>
      <w:r w:rsidRPr="00EB47C4">
        <w:t>transport, storage and handling requirements</w:t>
      </w:r>
    </w:p>
    <w:p w:rsidR="00000000" w:rsidRPr="00EB47C4" w:rsidP="00EB47C4">
      <w:pPr>
        <w:pStyle w:val="ListBullet"/>
      </w:pPr>
      <w:r w:rsidRPr="00EB47C4">
        <w:t>site preparation requirements:</w:t>
      </w:r>
    </w:p>
    <w:p w:rsidR="00000000" w:rsidRPr="00EB47C4" w:rsidP="00EB47C4">
      <w:pPr>
        <w:pStyle w:val="ListBullet2"/>
      </w:pPr>
      <w:r w:rsidRPr="00EB47C4">
        <w:t>shoring</w:t>
      </w:r>
    </w:p>
    <w:p w:rsidR="00000000" w:rsidRPr="00EB47C4" w:rsidP="00EB47C4">
      <w:pPr>
        <w:pStyle w:val="ListBullet2"/>
      </w:pPr>
      <w:r w:rsidRPr="00EB47C4">
        <w:t>underpinning</w:t>
      </w:r>
    </w:p>
    <w:p w:rsidR="00000000" w:rsidRPr="00EB47C4" w:rsidP="00EB47C4">
      <w:pPr>
        <w:pStyle w:val="ListBullet2"/>
      </w:pPr>
      <w:r w:rsidRPr="00EB47C4">
        <w:t>de-watering</w:t>
      </w:r>
    </w:p>
    <w:p w:rsidR="00000000" w:rsidRPr="00EB47C4" w:rsidP="00EB47C4">
      <w:pPr>
        <w:pStyle w:val="ListBullet2"/>
      </w:pPr>
      <w:r w:rsidRPr="00EB47C4">
        <w:t>ground stabilisation</w:t>
      </w:r>
    </w:p>
    <w:p w:rsidR="00000000" w:rsidRPr="00EB47C4" w:rsidP="00EB47C4">
      <w:pPr>
        <w:pStyle w:val="ListBullet2"/>
      </w:pPr>
      <w:r w:rsidRPr="00EB47C4">
        <w:t>retaining structures</w:t>
      </w:r>
    </w:p>
    <w:p w:rsidR="00000000" w:rsidRPr="00EB47C4" w:rsidP="00EB47C4">
      <w:pPr>
        <w:pStyle w:val="ListBullet"/>
      </w:pPr>
      <w:r w:rsidRPr="00EB47C4">
        <w:t>sequencing of construction works</w:t>
      </w:r>
    </w:p>
    <w:p w:rsidR="00000000" w:rsidRPr="00EB47C4" w:rsidP="00EB47C4">
      <w:pPr>
        <w:pStyle w:val="ListBullet"/>
      </w:pPr>
      <w:r w:rsidRPr="00EB47C4">
        <w:t>services:</w:t>
      </w:r>
    </w:p>
    <w:p w:rsidR="00000000" w:rsidRPr="00EB47C4" w:rsidP="00EB47C4">
      <w:pPr>
        <w:pStyle w:val="ListBullet2"/>
      </w:pPr>
      <w:r w:rsidRPr="00EB47C4">
        <w:t>sewer</w:t>
      </w:r>
    </w:p>
    <w:p w:rsidR="00000000" w:rsidRPr="00EB47C4" w:rsidP="00EB47C4">
      <w:pPr>
        <w:pStyle w:val="ListBullet2"/>
      </w:pPr>
      <w:r w:rsidRPr="00EB47C4">
        <w:t>stormwater</w:t>
      </w:r>
    </w:p>
    <w:p w:rsidR="00000000" w:rsidRPr="00EB47C4" w:rsidP="00EB47C4">
      <w:pPr>
        <w:pStyle w:val="ListBullet2"/>
      </w:pPr>
      <w:r w:rsidRPr="00EB47C4">
        <w:t>domestic water supply</w:t>
      </w:r>
    </w:p>
    <w:p w:rsidR="00000000" w:rsidRPr="00EB47C4" w:rsidP="00EB47C4">
      <w:pPr>
        <w:pStyle w:val="ListBullet2"/>
      </w:pPr>
      <w:r w:rsidRPr="00EB47C4">
        <w:t>electrical and data</w:t>
      </w:r>
    </w:p>
    <w:p w:rsidR="00000000" w:rsidRPr="00EB47C4" w:rsidP="00EB47C4">
      <w:pPr>
        <w:pStyle w:val="ListBullet2"/>
      </w:pPr>
      <w:r w:rsidRPr="00EB47C4">
        <w:t>fire protection systems</w:t>
      </w:r>
    </w:p>
    <w:p w:rsidR="00000000" w:rsidRPr="00EB47C4" w:rsidP="00EB47C4">
      <w:pPr>
        <w:pStyle w:val="ListBullet2"/>
      </w:pPr>
      <w:r w:rsidRPr="00EB47C4">
        <w:t>heating, ventilation and air conditioning</w:t>
      </w:r>
    </w:p>
    <w:p w:rsidR="00000000" w:rsidRPr="00EB47C4" w:rsidP="00EB47C4">
      <w:pPr>
        <w:pStyle w:val="ListBullet2"/>
      </w:pPr>
      <w:r w:rsidRPr="00EB47C4">
        <w:t>lifts</w:t>
      </w:r>
    </w:p>
    <w:p w:rsidR="00000000" w:rsidRPr="00EB47C4" w:rsidP="00EB47C4">
      <w:pPr>
        <w:pStyle w:val="ListBullet2"/>
      </w:pPr>
      <w:r w:rsidRPr="00EB47C4">
        <w:t>artificial lighting.</w:t>
      </w:r>
    </w:p>
    <w:p w:rsidR="00000000" w:rsidRPr="00EB47C4" w:rsidP="00EB47C4">
      <w:pPr>
        <w:pStyle w:val="AllowPageBreak"/>
      </w:pPr>
    </w:p>
    <w:p w:rsidR="00000000" w:rsidRPr="00EB47C4" w:rsidP="00EB47C4">
      <w:pPr>
        <w:pStyle w:val="Heading1"/>
      </w:pPr>
      <w:bookmarkStart w:id="4" w:name="O_1137863"/>
      <w:bookmarkEnd w:id="4"/>
      <w:r w:rsidRPr="00EB47C4">
        <w:t>Assessment Conditions</w:t>
      </w:r>
    </w:p>
    <w:p w:rsidR="00000000" w:rsidRPr="00EB47C4" w:rsidP="00821F63">
      <w:pPr>
        <w:pStyle w:val="BodyText"/>
      </w:pPr>
      <w:r w:rsidRPr="00EB47C4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EB47C4">
        <w:t>here these skills and knowledge would be performed. This includes access to:</w:t>
      </w:r>
    </w:p>
    <w:p w:rsidR="00000000" w:rsidRPr="00EB47C4" w:rsidP="00EB47C4">
      <w:pPr>
        <w:pStyle w:val="ListBullet"/>
      </w:pPr>
      <w:r w:rsidRPr="00EB47C4">
        <w:t>computer with internet access and word processing software</w:t>
      </w:r>
    </w:p>
    <w:p w:rsidR="00000000" w:rsidRPr="00EB47C4" w:rsidP="00EB47C4">
      <w:pPr>
        <w:pStyle w:val="ListBullet"/>
      </w:pPr>
      <w:r w:rsidRPr="00EB47C4">
        <w:t xml:space="preserve">relevant regulations, codes and standards </w:t>
      </w:r>
    </w:p>
    <w:p w:rsidR="00000000" w:rsidRPr="00EB47C4" w:rsidP="00EB47C4">
      <w:pPr>
        <w:pStyle w:val="ListBullet"/>
      </w:pPr>
      <w:r w:rsidRPr="00EB47C4">
        <w:t xml:space="preserve">technical references with current information on construction materials and </w:t>
      </w:r>
      <w:r w:rsidRPr="00EB47C4">
        <w:t>methods</w:t>
      </w:r>
    </w:p>
    <w:p w:rsidR="00000000" w:rsidRPr="00EB47C4" w:rsidP="00EB47C4">
      <w:pPr>
        <w:pStyle w:val="ListBullet"/>
      </w:pPr>
      <w:r w:rsidRPr="00EB47C4">
        <w:t>drafting equipment for computer or hand detail sketching.</w:t>
      </w:r>
    </w:p>
    <w:p w:rsidR="00000000" w:rsidRPr="00EB47C4" w:rsidP="00EB47C4">
      <w:pPr>
        <w:pStyle w:val="AllowPageBreak"/>
      </w:pPr>
    </w:p>
    <w:p w:rsidR="00000000" w:rsidRPr="00EB47C4" w:rsidP="00EB47C4">
      <w:pPr>
        <w:pStyle w:val="Heading1"/>
      </w:pPr>
      <w:bookmarkStart w:id="5" w:name="O_1137861"/>
      <w:bookmarkEnd w:id="5"/>
      <w:r w:rsidRPr="00EB47C4">
        <w:t>Links</w:t>
      </w:r>
    </w:p>
    <w:p w:rsidR="00000000" w:rsidRPr="00EB47C4" w:rsidP="00821F63">
      <w:pPr>
        <w:pStyle w:val="BodyText"/>
      </w:pPr>
      <w:r w:rsidRPr="00EB47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41C1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47C4" w:rsidP="00EB47C4"/>
    <w:sectPr w:rsidSect="00EB47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C4" w:rsidRPr="00821F63" w:rsidP="00821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F63" w:rsidP="00EB4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F63" w:rsidP="00EB4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21F63" w:rsidP="00EB4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7C4" w:rsidRPr="00821F63" w:rsidP="00821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F63" w:rsidRPr="002D2AF8" w:rsidP="00EB4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CPPBDN5105 Evaluate construction materials and methods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21F63" w:rsidP="00EB4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FE3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A6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DE2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7C4"/>
  </w:style>
  <w:style w:type="character" w:customStyle="1" w:styleId="Heading1Char">
    <w:name w:val="Heading 1 Char"/>
    <w:basedOn w:val="DefaultParagraphFont"/>
    <w:link w:val="Heading1"/>
    <w:rsid w:val="00EB4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7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7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7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47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7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7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7C4"/>
    <w:rPr>
      <w:b/>
      <w:spacing w:val="0"/>
    </w:rPr>
  </w:style>
  <w:style w:type="paragraph" w:customStyle="1" w:styleId="SuperTitle">
    <w:name w:val="SuperTitle"/>
    <w:basedOn w:val="Title"/>
    <w:rsid w:val="00EB4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7C4"/>
    <w:rPr>
      <w:i/>
    </w:rPr>
  </w:style>
  <w:style w:type="paragraph" w:styleId="Caption">
    <w:name w:val="caption"/>
    <w:basedOn w:val="BodyText"/>
    <w:next w:val="Normal"/>
    <w:qFormat/>
    <w:rsid w:val="00EB4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7C4"/>
  </w:style>
  <w:style w:type="paragraph" w:styleId="TableofFigures">
    <w:name w:val="table of figures"/>
    <w:basedOn w:val="Normal"/>
    <w:next w:val="Normal"/>
    <w:semiHidden/>
    <w:rsid w:val="00EB4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7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7C4"/>
    <w:rPr>
      <w:rFonts w:ascii="Wingdings" w:hAnsi="Wingdings"/>
    </w:rPr>
  </w:style>
  <w:style w:type="paragraph" w:customStyle="1" w:styleId="TableHeading">
    <w:name w:val="Table Heading"/>
    <w:basedOn w:val="HeadingBase"/>
    <w:rsid w:val="00EB4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7C4"/>
    <w:rPr>
      <w:color w:val="0033CC"/>
      <w:u w:val="none"/>
    </w:rPr>
  </w:style>
  <w:style w:type="paragraph" w:customStyle="1" w:styleId="BodyTextRight">
    <w:name w:val="Body Text Right"/>
    <w:basedOn w:val="BodyText"/>
    <w:rsid w:val="00EB4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7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7C4"/>
    <w:rPr>
      <w:sz w:val="32"/>
    </w:rPr>
  </w:style>
  <w:style w:type="paragraph" w:customStyle="1" w:styleId="HeadingProcedure">
    <w:name w:val="Heading Procedure"/>
    <w:basedOn w:val="HeadingBase"/>
    <w:next w:val="Normal"/>
    <w:rsid w:val="00EB4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7C4"/>
    <w:pPr>
      <w:spacing w:before="60" w:after="60"/>
    </w:pPr>
  </w:style>
  <w:style w:type="paragraph" w:styleId="ListContinue">
    <w:name w:val="List Continue"/>
    <w:basedOn w:val="List"/>
    <w:rsid w:val="00EB47C4"/>
    <w:pPr>
      <w:ind w:firstLine="0"/>
    </w:pPr>
  </w:style>
  <w:style w:type="paragraph" w:customStyle="1" w:styleId="ListNote">
    <w:name w:val="List Note"/>
    <w:basedOn w:val="List"/>
    <w:rsid w:val="00EB4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7C4"/>
    <w:rPr>
      <w:rFonts w:ascii="Courier New" w:hAnsi="Courier New"/>
    </w:rPr>
  </w:style>
  <w:style w:type="paragraph" w:customStyle="1" w:styleId="NoteBullet">
    <w:name w:val="Note Bullet"/>
    <w:basedOn w:val="Note"/>
    <w:rsid w:val="00EB4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7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7C4"/>
    <w:rPr>
      <w:b/>
      <w:smallCaps/>
    </w:rPr>
  </w:style>
  <w:style w:type="paragraph" w:customStyle="1" w:styleId="TableListNumber">
    <w:name w:val="Table List Number"/>
    <w:basedOn w:val="ListNumber"/>
    <w:rsid w:val="00EB4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7C4"/>
    <w:pPr>
      <w:numPr>
        <w:numId w:val="9"/>
      </w:numPr>
    </w:pPr>
  </w:style>
  <w:style w:type="paragraph" w:customStyle="1" w:styleId="ListAlpha2">
    <w:name w:val="List Alpha 2"/>
    <w:basedOn w:val="List2"/>
    <w:rsid w:val="00EB47C4"/>
    <w:pPr>
      <w:numPr>
        <w:numId w:val="8"/>
      </w:numPr>
    </w:pPr>
  </w:style>
  <w:style w:type="paragraph" w:styleId="List2">
    <w:name w:val="List 2"/>
    <w:basedOn w:val="BodyText"/>
    <w:rsid w:val="00EB4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7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7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7C4"/>
    <w:pPr>
      <w:numPr>
        <w:numId w:val="4"/>
      </w:numPr>
    </w:pPr>
  </w:style>
  <w:style w:type="paragraph" w:styleId="ListContinue2">
    <w:name w:val="List Continue 2"/>
    <w:basedOn w:val="List2"/>
    <w:rsid w:val="00EB47C4"/>
    <w:pPr>
      <w:ind w:firstLine="0"/>
    </w:pPr>
  </w:style>
  <w:style w:type="paragraph" w:styleId="ListContinue3">
    <w:name w:val="List Continue 3"/>
    <w:basedOn w:val="List3"/>
    <w:rsid w:val="00EB47C4"/>
    <w:pPr>
      <w:ind w:left="1021" w:firstLine="0"/>
    </w:pPr>
  </w:style>
  <w:style w:type="paragraph" w:styleId="ListContinue4">
    <w:name w:val="List Continue 4"/>
    <w:basedOn w:val="List4"/>
    <w:rsid w:val="00EB47C4"/>
    <w:pPr>
      <w:ind w:firstLine="0"/>
    </w:pPr>
  </w:style>
  <w:style w:type="paragraph" w:styleId="ListContinue5">
    <w:name w:val="List Continue 5"/>
    <w:basedOn w:val="List5"/>
    <w:rsid w:val="00EB47C4"/>
    <w:pPr>
      <w:ind w:firstLine="0"/>
    </w:pPr>
  </w:style>
  <w:style w:type="paragraph" w:styleId="ListNumber3">
    <w:name w:val="List Number 3"/>
    <w:basedOn w:val="List3"/>
    <w:rsid w:val="00EB47C4"/>
    <w:pPr>
      <w:numPr>
        <w:numId w:val="5"/>
      </w:numPr>
    </w:pPr>
  </w:style>
  <w:style w:type="paragraph" w:styleId="ListNumber4">
    <w:name w:val="List Number 4"/>
    <w:basedOn w:val="List4"/>
    <w:rsid w:val="00EB47C4"/>
    <w:pPr>
      <w:numPr>
        <w:numId w:val="6"/>
      </w:numPr>
    </w:pPr>
  </w:style>
  <w:style w:type="paragraph" w:styleId="ListNumber5">
    <w:name w:val="List Number 5"/>
    <w:basedOn w:val="List5"/>
    <w:rsid w:val="00EB47C4"/>
    <w:pPr>
      <w:numPr>
        <w:numId w:val="7"/>
      </w:numPr>
    </w:pPr>
  </w:style>
  <w:style w:type="paragraph" w:styleId="BlockText">
    <w:name w:val="Block Text"/>
    <w:basedOn w:val="Normal"/>
    <w:rsid w:val="00EB4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7C4"/>
    <w:rPr>
      <w:sz w:val="16"/>
      <w:vertAlign w:val="superscript"/>
    </w:rPr>
  </w:style>
  <w:style w:type="character" w:customStyle="1" w:styleId="Symbols">
    <w:name w:val="Symbols"/>
    <w:basedOn w:val="DefaultParagraphFont"/>
    <w:rsid w:val="00EB47C4"/>
    <w:rPr>
      <w:rFonts w:ascii="Symbol" w:hAnsi="Symbol"/>
    </w:rPr>
  </w:style>
  <w:style w:type="character" w:customStyle="1" w:styleId="MenuOptions">
    <w:name w:val="Menu Options"/>
    <w:basedOn w:val="DefaultParagraphFont"/>
    <w:rsid w:val="00EB4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7C4"/>
    <w:rPr>
      <w:b/>
    </w:rPr>
  </w:style>
  <w:style w:type="character" w:customStyle="1" w:styleId="Underlined">
    <w:name w:val="Underlined"/>
    <w:basedOn w:val="DefaultParagraphFont"/>
    <w:rsid w:val="00EB47C4"/>
    <w:rPr>
      <w:u w:val="single"/>
    </w:rPr>
  </w:style>
  <w:style w:type="paragraph" w:customStyle="1" w:styleId="TableBodyTextRight">
    <w:name w:val="Table Body Text Right"/>
    <w:basedOn w:val="TableBodyText"/>
    <w:rsid w:val="00EB4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7C4"/>
    <w:rPr>
      <w:sz w:val="18"/>
    </w:rPr>
  </w:style>
  <w:style w:type="paragraph" w:customStyle="1" w:styleId="BodySmallRight">
    <w:name w:val="Body Small Right"/>
    <w:basedOn w:val="BodyTextRight"/>
    <w:rsid w:val="00EB47C4"/>
    <w:rPr>
      <w:sz w:val="18"/>
      <w:szCs w:val="18"/>
    </w:rPr>
  </w:style>
  <w:style w:type="paragraph" w:customStyle="1" w:styleId="MarginEdition">
    <w:name w:val="Margin Edition"/>
    <w:basedOn w:val="MarginNote"/>
    <w:rsid w:val="00EB4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7C4"/>
    <w:rPr>
      <w:sz w:val="2"/>
      <w:szCs w:val="2"/>
    </w:rPr>
  </w:style>
  <w:style w:type="character" w:customStyle="1" w:styleId="Small">
    <w:name w:val="Small"/>
    <w:basedOn w:val="DefaultParagraphFont"/>
    <w:rsid w:val="00EB47C4"/>
    <w:rPr>
      <w:sz w:val="16"/>
    </w:rPr>
  </w:style>
  <w:style w:type="paragraph" w:customStyle="1" w:styleId="WideTable">
    <w:name w:val="Wide Table"/>
    <w:basedOn w:val="Normal"/>
    <w:rsid w:val="00EB4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7C4"/>
  </w:style>
  <w:style w:type="paragraph" w:styleId="Quote">
    <w:name w:val="Quote"/>
    <w:basedOn w:val="Heading1"/>
    <w:link w:val="QuoteChar"/>
    <w:qFormat/>
    <w:rsid w:val="00EB4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7C4"/>
    <w:pPr>
      <w:pageBreakBefore/>
    </w:pPr>
  </w:style>
  <w:style w:type="paragraph" w:customStyle="1" w:styleId="Border">
    <w:name w:val="Border"/>
    <w:basedOn w:val="Normal"/>
    <w:qFormat/>
    <w:rsid w:val="00EB4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7C4"/>
    <w:rPr>
      <w:u w:val="single"/>
    </w:rPr>
  </w:style>
  <w:style w:type="character" w:customStyle="1" w:styleId="BoldandItalics">
    <w:name w:val="Bold and Italics"/>
    <w:qFormat/>
    <w:rsid w:val="00EB47C4"/>
    <w:rPr>
      <w:b/>
      <w:i/>
      <w:u w:val="none"/>
    </w:rPr>
  </w:style>
  <w:style w:type="paragraph" w:styleId="BalloonText">
    <w:name w:val="Balloon Text"/>
    <w:basedOn w:val="Normal"/>
    <w:link w:val="BalloonTextChar"/>
    <w:rsid w:val="00EB4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7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7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7C4"/>
    <w:pPr>
      <w:spacing w:before="0" w:after="0"/>
    </w:pPr>
  </w:style>
  <w:style w:type="paragraph" w:customStyle="1" w:styleId="BodyTextBold">
    <w:name w:val="Body Text Bold"/>
    <w:basedOn w:val="BodyText"/>
    <w:qFormat/>
    <w:rsid w:val="00EB47C4"/>
    <w:rPr>
      <w:b/>
    </w:rPr>
  </w:style>
  <w:style w:type="character" w:styleId="Hyperlink">
    <w:name w:val="Hyperlink"/>
    <w:basedOn w:val="DefaultParagraphFont"/>
    <w:uiPriority w:val="99"/>
    <w:unhideWhenUsed/>
    <w:rsid w:val="00821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3128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CPPBDN5105 Evaluate construction materials and methods for Class 2-9 buildings up to two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