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FEE" w:rsidP="00B51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CPPBDN4108 Draw layout of required services for Class 1 and 10 buildings</w:t>
      </w:r>
      <w:r>
        <w:fldChar w:fldCharType="end"/>
      </w:r>
    </w:p>
    <w:p w:rsidR="00B51FEE" w:rsidP="00B51FEE">
      <w:pPr>
        <w:pStyle w:val="Version"/>
        <w:sectPr w:rsidSect="00DE1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A43" w:rsidP="00DE1A43">
      <w:pPr>
        <w:pStyle w:val="SuperHeading"/>
      </w:pPr>
      <w:r w:rsidRPr="00DE1A43">
        <w:t>CPPBDN4108 Draw layout of required services for Class 1 and 10 buildings</w:t>
      </w:r>
    </w:p>
    <w:p w:rsidR="00000000" w:rsidRPr="00DE1A43" w:rsidP="00DE1A43">
      <w:pPr>
        <w:pStyle w:val="Heading1"/>
      </w:pPr>
      <w:bookmarkStart w:id="1" w:name="O_1137747"/>
      <w:bookmarkEnd w:id="1"/>
      <w:r w:rsidRPr="00DE1A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A43" w:rsidP="00DE1A43">
            <w:pPr>
              <w:pStyle w:val="BodyText"/>
            </w:pPr>
            <w:r w:rsidRPr="00DE1A43">
              <w:t>This version first released with CPP Property Services Training Package Release 11.0.</w:t>
            </w:r>
          </w:p>
          <w:p w:rsidR="00000000" w:rsidRPr="00DE1A43" w:rsidP="00DE1A43">
            <w:pPr>
              <w:pStyle w:val="BodyText"/>
            </w:pPr>
            <w:r w:rsidRPr="00DE1A43">
              <w:t>New unit.</w:t>
            </w:r>
          </w:p>
        </w:tc>
      </w:tr>
    </w:tbl>
    <w:p w:rsidR="00000000" w:rsidRPr="00DE1A43" w:rsidP="00DE1A43">
      <w:pPr>
        <w:pStyle w:val="BodyText"/>
      </w:pPr>
    </w:p>
    <w:p w:rsidR="00000000" w:rsidRPr="00DE1A43" w:rsidP="00DE1A43">
      <w:pPr>
        <w:pStyle w:val="AllowPageBreak"/>
      </w:pPr>
    </w:p>
    <w:p w:rsidR="00000000" w:rsidRPr="00DE1A43" w:rsidP="00DE1A43">
      <w:pPr>
        <w:pStyle w:val="Heading1"/>
      </w:pPr>
      <w:bookmarkStart w:id="2" w:name="O_1137753"/>
      <w:bookmarkEnd w:id="2"/>
      <w:r w:rsidRPr="00DE1A43">
        <w:t>Application</w:t>
      </w:r>
    </w:p>
    <w:p w:rsidR="00000000" w:rsidRPr="00DE1A43" w:rsidP="00B51FEE">
      <w:pPr>
        <w:pStyle w:val="BodyText"/>
      </w:pPr>
      <w:r w:rsidRPr="00DE1A43">
        <w:t xml:space="preserve">This unit specifies the skills and knowledge required to draw the layout of services for Class 1 and 10 buildings, as defined by the National Construction Code (NCC). It includes reviewing project documentation, identifying the services required to comply </w:t>
      </w:r>
      <w:r w:rsidRPr="00DE1A43">
        <w:t>with building regulations, codes and standards and drawing layouts for stormwater, sewerage, water supply, electrical and gas services.</w:t>
      </w:r>
    </w:p>
    <w:p w:rsidR="00000000" w:rsidRPr="00DE1A43" w:rsidP="00B51FEE">
      <w:pPr>
        <w:pStyle w:val="BodyText"/>
      </w:pPr>
      <w:r w:rsidRPr="00DE1A43">
        <w:t>The unit applies to drafters who work under the supervision of building designers or architects and use specialised know</w:t>
      </w:r>
      <w:r w:rsidRPr="00DE1A43">
        <w:t>ledge to complete routine and non-routine tasks and deal with predictable and sometimes unpredictable drafting problems.</w:t>
      </w:r>
    </w:p>
    <w:p w:rsidR="00000000" w:rsidRPr="00DE1A43" w:rsidP="00B51FEE">
      <w:pPr>
        <w:pStyle w:val="BodyText"/>
      </w:pPr>
      <w:r w:rsidRPr="00DE1A43">
        <w:t>No licensing, legislative or certification requirements apply to this unit at the time of publication.</w:t>
      </w:r>
    </w:p>
    <w:p w:rsidR="00000000" w:rsidRPr="00DE1A43" w:rsidP="00DE1A43">
      <w:pPr>
        <w:pStyle w:val="Heading1"/>
      </w:pPr>
      <w:bookmarkStart w:id="3" w:name="O_1137752"/>
      <w:bookmarkEnd w:id="3"/>
      <w:r w:rsidRPr="00DE1A43">
        <w:t>Pre-requisite</w:t>
      </w:r>
      <w:r w:rsidRPr="00DE1A43">
        <w:t xml:space="preserve"> Unit</w:t>
      </w:r>
    </w:p>
    <w:p w:rsidR="00000000" w:rsidRPr="00DE1A43" w:rsidP="00B51FEE">
      <w:pPr>
        <w:pStyle w:val="BodyText"/>
      </w:pPr>
      <w:r w:rsidRPr="00DE1A43">
        <w:t>Nil.</w:t>
      </w:r>
    </w:p>
    <w:p w:rsidR="00000000" w:rsidRPr="00DE1A43" w:rsidP="00DE1A43">
      <w:pPr>
        <w:pStyle w:val="Heading1"/>
      </w:pPr>
      <w:bookmarkStart w:id="4" w:name="O_1137751"/>
      <w:bookmarkEnd w:id="4"/>
      <w:r w:rsidRPr="00DE1A43">
        <w:t>Unit Sector</w:t>
      </w:r>
    </w:p>
    <w:p w:rsidR="00000000" w:rsidRPr="00DE1A43" w:rsidP="00B51FEE">
      <w:pPr>
        <w:pStyle w:val="BodyText"/>
      </w:pPr>
      <w:r w:rsidRPr="00DE1A43">
        <w:t>Building Design</w:t>
      </w:r>
    </w:p>
    <w:p w:rsidR="00000000" w:rsidRPr="00DE1A43" w:rsidP="00DE1A43">
      <w:pPr>
        <w:pStyle w:val="Heading1"/>
      </w:pPr>
      <w:bookmarkStart w:id="5" w:name="O_1137750"/>
      <w:bookmarkEnd w:id="5"/>
      <w:r w:rsidRPr="00DE1A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Performance criteria describe what needs to be done to demonstrate achievement of the element.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Confirm service requirements for Class 1 and 10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Examine project documentation to clarify service requirements for Class 1 and 10 building.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Determine supply sources for utilities.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 xml:space="preserve">Review site and floor plans to identify connection points </w:t>
            </w:r>
            <w:r w:rsidRPr="00DE1A43">
              <w:t>for services.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 xml:space="preserve">Confirm client preferences for service provision. 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Draw stormwater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 xml:space="preserve">Identify required methods for disposing of stormwater. 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Review site documentation to identify stormwater requirements.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Interpret regulations, codes and standards relevant to stormwater systems and apply requirements to drawing to ensure compliance.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Identify and review options for stormwater layout and select optimal layout to meet compliance and client requirements.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Create and document stormwater drainage system layout.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Draw sewerage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 xml:space="preserve">Identify required methods for sewerage connection. 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Review site documentation to identify sanitary fixtures and sewerage requirements.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Interpret regulations, codes and standards relevant to sewerage systems and apply requirements to drawing t</w:t>
            </w:r>
            <w:r w:rsidRPr="00DE1A43">
              <w:t>o ensure compliance.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Identify and review options for sewerage layout and select optimal layout to meet compliance and client requirements.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Create and document layout for sanitary fixtures and sewerage connections.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Draw water supply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 xml:space="preserve">Identify required methods for water supply and connection. 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Review site documentation to identify water supply requirements, type of hot water system and fixtures.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Interpret regulations, codes, standards and loca</w:t>
            </w:r>
            <w:r w:rsidRPr="00DE1A43">
              <w:t>l authority requirements relevant to water systems and apply requirements to drawing to ensure compliance.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Identify and review options for position of hot water and water fixtures and select optimal locations.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Create and document layout for water connections and fixtures.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Draw electrical services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Identify methods for supplying electricity to Class 1 and 10 buildings.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Review site documentation to identify electricity source and electrical fixture requirements.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Interpret regulations, codes, standards and local authority requirements relevant to electrical systems and apply requirements to drawing to ensure complia</w:t>
            </w:r>
            <w:r w:rsidRPr="00DE1A43">
              <w:t>nce.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Identify and review options for locating switchboard and positioning electrical fixtures and electronic data cabling and select optimal locations.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Create and document layout for electrical fixtures, electronic data cabling and electricity connection.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Draw gas services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Identify methods for supplying gas to Class 1 and 10 buildings.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Review site documentation to identify gas source and gas fixture requirements.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Interpret regulations, codes, standards and local authority requirements relevant to gas systems and apply requirements to drawing to ensure compliance.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Identify and review options for positioning gas fixtures and select optimal positions.</w:t>
            </w:r>
          </w:p>
        </w:tc>
      </w:tr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6.5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A43" w:rsidP="00DE1A43">
            <w:pPr>
              <w:pStyle w:val="BodyText"/>
            </w:pPr>
            <w:r w:rsidRPr="00DE1A43">
              <w:t>Create and document layout for gas fixtures and gas connection.</w:t>
            </w:r>
          </w:p>
        </w:tc>
      </w:tr>
    </w:tbl>
    <w:p w:rsidR="00000000" w:rsidRPr="00DE1A43" w:rsidP="00DE1A43">
      <w:pPr>
        <w:pStyle w:val="BodyText"/>
      </w:pPr>
    </w:p>
    <w:p w:rsidR="00000000" w:rsidRPr="00DE1A43" w:rsidP="00DE1A43">
      <w:pPr>
        <w:pStyle w:val="AllowPageBreak"/>
      </w:pPr>
    </w:p>
    <w:p w:rsidR="00000000" w:rsidRPr="00DE1A43" w:rsidP="00DE1A43">
      <w:pPr>
        <w:pStyle w:val="Heading1"/>
      </w:pPr>
      <w:bookmarkStart w:id="6" w:name="O_1137749"/>
      <w:bookmarkEnd w:id="6"/>
      <w:r w:rsidRPr="00DE1A43">
        <w:t>Foundation Skills</w:t>
      </w:r>
    </w:p>
    <w:p w:rsidR="00000000" w:rsidRPr="00DE1A43" w:rsidP="00B51FEE">
      <w:pPr>
        <w:pStyle w:val="BodyText"/>
      </w:pPr>
      <w:r w:rsidRPr="00DE1A43">
        <w:t>As well as the foundation skills explicit in the performanc</w:t>
      </w:r>
      <w:r w:rsidRPr="00DE1A43">
        <w:t>e criteria of this unit, candidates require:</w:t>
      </w:r>
    </w:p>
    <w:p w:rsidR="00000000" w:rsidRPr="00DE1A43" w:rsidP="00DE1A43">
      <w:pPr>
        <w:pStyle w:val="ListBullet"/>
      </w:pPr>
      <w:r w:rsidRPr="00DE1A43">
        <w:t>reading skills to interpret:</w:t>
      </w:r>
    </w:p>
    <w:p w:rsidR="00000000" w:rsidRPr="00DE1A43" w:rsidP="00DE1A43">
      <w:pPr>
        <w:pStyle w:val="ListBullet2"/>
      </w:pPr>
      <w:r w:rsidRPr="00DE1A43">
        <w:t>service drawings and specifications in written and diagrammatic formats</w:t>
      </w:r>
    </w:p>
    <w:p w:rsidR="00000000" w:rsidRPr="00DE1A43" w:rsidP="00DE1A43">
      <w:pPr>
        <w:pStyle w:val="ListBullet2"/>
      </w:pPr>
      <w:r w:rsidRPr="00DE1A43">
        <w:t>specialised vocabulary, acronyms and technical terms used in project documentation</w:t>
      </w:r>
    </w:p>
    <w:p w:rsidR="00000000" w:rsidRPr="00DE1A43" w:rsidP="00DE1A43">
      <w:pPr>
        <w:pStyle w:val="ListBullet"/>
      </w:pPr>
      <w:r w:rsidRPr="00DE1A43">
        <w:t>numeracy skills to apply measurements and calculations relating to service connections.</w:t>
      </w:r>
    </w:p>
    <w:p w:rsidR="00000000" w:rsidRPr="00DE1A43" w:rsidP="00DE1A43">
      <w:pPr>
        <w:pStyle w:val="AllowPageBreak"/>
      </w:pPr>
    </w:p>
    <w:p w:rsidR="00000000" w:rsidRPr="00DE1A43" w:rsidP="00DE1A43">
      <w:pPr>
        <w:pStyle w:val="Heading1"/>
      </w:pPr>
      <w:bookmarkStart w:id="7" w:name="O_1137748"/>
      <w:bookmarkEnd w:id="7"/>
      <w:r w:rsidRPr="00DE1A43">
        <w:t>Unit Mapping Information</w:t>
      </w:r>
    </w:p>
    <w:p w:rsidR="00000000" w:rsidRPr="00DE1A43" w:rsidP="00B51FEE">
      <w:pPr>
        <w:pStyle w:val="BodyText"/>
      </w:pPr>
      <w:r w:rsidRPr="00DE1A43">
        <w:t>New unit.</w:t>
      </w:r>
    </w:p>
    <w:p w:rsidR="00000000" w:rsidRPr="00DE1A43" w:rsidP="00DE1A43">
      <w:pPr>
        <w:pStyle w:val="Heading1"/>
      </w:pPr>
      <w:bookmarkStart w:id="8" w:name="O_1137741"/>
      <w:bookmarkEnd w:id="8"/>
      <w:r w:rsidRPr="00DE1A43">
        <w:t>Links</w:t>
      </w:r>
    </w:p>
    <w:p w:rsidR="00000000" w:rsidRPr="00DE1A43" w:rsidP="00B51FEE">
      <w:pPr>
        <w:pStyle w:val="BodyText"/>
      </w:pPr>
      <w:r w:rsidRPr="00DE1A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B2A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E1A43" w:rsidP="00B51FEE">
      <w:pPr>
        <w:pStyle w:val="BodyText"/>
        <w:sectPr w:rsidSect="00DE1A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1A43" w:rsidP="00DE1A43">
      <w:pPr>
        <w:pStyle w:val="SuperHeading"/>
      </w:pPr>
      <w:r w:rsidRPr="00DE1A43">
        <w:t>Assessment Requirements for CPPBDN4108 Draw layout of required services for Class 1 and 10 buildings</w:t>
      </w:r>
    </w:p>
    <w:p w:rsidR="00000000" w:rsidRPr="00DE1A43" w:rsidP="00DE1A43">
      <w:pPr>
        <w:pStyle w:val="Heading1"/>
      </w:pPr>
      <w:bookmarkStart w:id="9" w:name="O_1137743"/>
      <w:bookmarkEnd w:id="9"/>
      <w:r w:rsidRPr="00DE1A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E1A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A43">
            <w:pPr>
              <w:pStyle w:val="BodyText"/>
              <w:rPr>
                <w:lang w:val="en-NZ"/>
              </w:rPr>
            </w:pPr>
            <w:r w:rsidRPr="00DE1A4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A43" w:rsidP="00DE1A43">
            <w:pPr>
              <w:pStyle w:val="BodyText"/>
            </w:pPr>
            <w:r w:rsidRPr="00DE1A43">
              <w:t>This version first released with CPP Property Services Training Package Release 11.0.</w:t>
            </w:r>
          </w:p>
          <w:p w:rsidR="00000000" w:rsidRPr="00DE1A43" w:rsidP="00DE1A43">
            <w:pPr>
              <w:pStyle w:val="BodyText"/>
            </w:pPr>
            <w:r w:rsidRPr="00DE1A43">
              <w:t>New unit.</w:t>
            </w:r>
          </w:p>
        </w:tc>
      </w:tr>
    </w:tbl>
    <w:p w:rsidR="00000000" w:rsidRPr="00DE1A43" w:rsidP="00DE1A43">
      <w:pPr>
        <w:pStyle w:val="BodyText"/>
      </w:pPr>
    </w:p>
    <w:p w:rsidR="00000000" w:rsidRPr="00DE1A43" w:rsidP="00DE1A43">
      <w:pPr>
        <w:pStyle w:val="AllowPageBreak"/>
      </w:pPr>
    </w:p>
    <w:p w:rsidR="00000000" w:rsidRPr="00DE1A43" w:rsidP="00DE1A43">
      <w:pPr>
        <w:pStyle w:val="Heading1"/>
      </w:pPr>
      <w:bookmarkStart w:id="10" w:name="O_1137746"/>
      <w:bookmarkEnd w:id="10"/>
      <w:r w:rsidRPr="00DE1A43">
        <w:t>Performance Evidence</w:t>
      </w:r>
    </w:p>
    <w:p w:rsidR="00000000" w:rsidRPr="00DE1A43" w:rsidP="00B51FEE">
      <w:pPr>
        <w:pStyle w:val="BodyText"/>
      </w:pPr>
      <w:r w:rsidRPr="00DE1A43">
        <w:t xml:space="preserve">To demonstrate competency, a candidate must meet the performance criteria of this unit </w:t>
      </w:r>
      <w:r w:rsidRPr="00DE1A43">
        <w:t xml:space="preserve">by drawing the layout of services for two different Class 1 building projects, one of which includes an associated Class 10 building, as defined in the National Construction Code (NCC). </w:t>
      </w:r>
    </w:p>
    <w:p w:rsidR="00000000" w:rsidRPr="00DE1A43" w:rsidP="00DE1A43">
      <w:pPr>
        <w:pStyle w:val="Heading1"/>
      </w:pPr>
      <w:bookmarkStart w:id="11" w:name="O_1137745"/>
      <w:bookmarkEnd w:id="11"/>
      <w:r w:rsidRPr="00DE1A43">
        <w:t>Knowledge Evidence</w:t>
      </w:r>
    </w:p>
    <w:p w:rsidR="00000000" w:rsidRPr="00DE1A43" w:rsidP="00B51FEE">
      <w:pPr>
        <w:pStyle w:val="BodyText"/>
      </w:pPr>
      <w:r w:rsidRPr="00DE1A43">
        <w:t>To be competent in this unit, a</w:t>
      </w:r>
      <w:r w:rsidRPr="00DE1A43">
        <w:t xml:space="preserve"> candidate must demonstrate knowledge of:</w:t>
      </w:r>
    </w:p>
    <w:p w:rsidR="00000000" w:rsidRPr="00DE1A43" w:rsidP="00DE1A43">
      <w:pPr>
        <w:pStyle w:val="ListBullet"/>
      </w:pPr>
      <w:r w:rsidRPr="00DE1A43">
        <w:t>NCC, relevant regulations, Australian Standards and manufacturer specifications for services to Class 1 and 10 buildings</w:t>
      </w:r>
    </w:p>
    <w:p w:rsidR="00000000" w:rsidRPr="00DE1A43" w:rsidP="00DE1A43">
      <w:pPr>
        <w:pStyle w:val="ListBullet"/>
      </w:pPr>
      <w:r w:rsidRPr="00DE1A43">
        <w:t>stormwater drainage methods including local authority stormwater drains and on-site water retention systems</w:t>
      </w:r>
    </w:p>
    <w:p w:rsidR="00000000" w:rsidRPr="00DE1A43" w:rsidP="00DE1A43">
      <w:pPr>
        <w:pStyle w:val="ListBullet"/>
      </w:pPr>
      <w:r w:rsidRPr="00DE1A43">
        <w:t xml:space="preserve">stormwater components:  </w:t>
      </w:r>
    </w:p>
    <w:p w:rsidR="00000000" w:rsidRPr="00DE1A43" w:rsidP="00DE1A43">
      <w:pPr>
        <w:pStyle w:val="ListBullet2"/>
      </w:pPr>
      <w:r w:rsidRPr="00DE1A43">
        <w:t>size and location requirements for eaves and box gutters, down pipes and in ground/concealed piping and surface water catc</w:t>
      </w:r>
      <w:r w:rsidRPr="00DE1A43">
        <w:t>hment</w:t>
      </w:r>
    </w:p>
    <w:p w:rsidR="00000000" w:rsidRPr="00DE1A43" w:rsidP="00DE1A43">
      <w:pPr>
        <w:pStyle w:val="ListBullet"/>
      </w:pPr>
      <w:r w:rsidRPr="00DE1A43">
        <w:t>sewerage connection; local authority sewerage drainage systems and on-site treatment units</w:t>
      </w:r>
    </w:p>
    <w:p w:rsidR="00000000" w:rsidRPr="00DE1A43" w:rsidP="00DE1A43">
      <w:pPr>
        <w:pStyle w:val="ListBullet"/>
      </w:pPr>
      <w:r w:rsidRPr="00DE1A43">
        <w:t xml:space="preserve">water connection:  </w:t>
      </w:r>
    </w:p>
    <w:p w:rsidR="00000000" w:rsidRPr="00DE1A43" w:rsidP="00DE1A43">
      <w:pPr>
        <w:pStyle w:val="ListBullet2"/>
      </w:pPr>
      <w:r w:rsidRPr="00DE1A43">
        <w:t>reticulated water and on-site tanks</w:t>
      </w:r>
    </w:p>
    <w:p w:rsidR="00000000" w:rsidRPr="00DE1A43" w:rsidP="00DE1A43">
      <w:pPr>
        <w:pStyle w:val="ListBullet"/>
      </w:pPr>
      <w:r w:rsidRPr="00DE1A43">
        <w:t xml:space="preserve">types of hot water systems </w:t>
      </w:r>
    </w:p>
    <w:p w:rsidR="00000000" w:rsidRPr="00DE1A43" w:rsidP="00DE1A43">
      <w:pPr>
        <w:pStyle w:val="ListBullet"/>
      </w:pPr>
      <w:r w:rsidRPr="00DE1A43">
        <w:t xml:space="preserve">electricity sources: </w:t>
      </w:r>
    </w:p>
    <w:p w:rsidR="00000000" w:rsidRPr="00DE1A43" w:rsidP="00DE1A43">
      <w:pPr>
        <w:pStyle w:val="ListBullet2"/>
      </w:pPr>
      <w:r w:rsidRPr="00DE1A43">
        <w:t>mains electricity and on-site generation</w:t>
      </w:r>
    </w:p>
    <w:p w:rsidR="00000000" w:rsidRPr="00DE1A43" w:rsidP="00DE1A43">
      <w:pPr>
        <w:pStyle w:val="ListBullet"/>
      </w:pPr>
      <w:r w:rsidRPr="00DE1A43">
        <w:t>electri</w:t>
      </w:r>
      <w:r w:rsidRPr="00DE1A43">
        <w:t xml:space="preserve">cal fixtures: </w:t>
      </w:r>
    </w:p>
    <w:p w:rsidR="00000000" w:rsidRPr="00DE1A43" w:rsidP="00DE1A43">
      <w:pPr>
        <w:pStyle w:val="ListBullet2"/>
      </w:pPr>
      <w:r w:rsidRPr="00DE1A43">
        <w:t>general power outlets, lights, light switches, smoke detectors and ventilation systems</w:t>
      </w:r>
    </w:p>
    <w:p w:rsidR="00000000" w:rsidRPr="00DE1A43" w:rsidP="00DE1A43">
      <w:pPr>
        <w:pStyle w:val="ListBullet"/>
      </w:pPr>
      <w:r w:rsidRPr="00DE1A43">
        <w:t xml:space="preserve">gas sources: </w:t>
      </w:r>
    </w:p>
    <w:p w:rsidR="00000000" w:rsidRPr="00DE1A43" w:rsidP="00DE1A43">
      <w:pPr>
        <w:pStyle w:val="ListBullet2"/>
      </w:pPr>
      <w:r w:rsidRPr="00DE1A43">
        <w:t>mains gas and bottled gas</w:t>
      </w:r>
    </w:p>
    <w:p w:rsidR="00000000" w:rsidRPr="00DE1A43" w:rsidP="00DE1A43">
      <w:pPr>
        <w:pStyle w:val="ListBullet"/>
      </w:pPr>
      <w:r w:rsidRPr="00DE1A43">
        <w:t>design concepts and principles relating to service connections for Class 1 and 10 buildings</w:t>
      </w:r>
    </w:p>
    <w:p w:rsidR="00000000" w:rsidRPr="00DE1A43" w:rsidP="00DE1A43">
      <w:pPr>
        <w:pStyle w:val="ListBullet"/>
      </w:pPr>
      <w:r w:rsidRPr="00DE1A43">
        <w:t>safety measures including fire safety, electrical safety switches and tempering valves</w:t>
      </w:r>
    </w:p>
    <w:p w:rsidR="00000000" w:rsidRPr="00DE1A43" w:rsidP="00DE1A43">
      <w:pPr>
        <w:pStyle w:val="ListBullet"/>
      </w:pPr>
      <w:r w:rsidRPr="00DE1A43">
        <w:t>relevant licensing requirements</w:t>
      </w:r>
    </w:p>
    <w:p w:rsidR="00000000" w:rsidRPr="00DE1A43" w:rsidP="00DE1A43">
      <w:pPr>
        <w:pStyle w:val="ListBullet"/>
      </w:pPr>
      <w:r w:rsidRPr="00DE1A43">
        <w:t>service supply and connection terminology and definitions</w:t>
      </w:r>
    </w:p>
    <w:p w:rsidR="00000000" w:rsidRPr="00DE1A43" w:rsidP="00DE1A43">
      <w:pPr>
        <w:pStyle w:val="ListBullet"/>
      </w:pPr>
      <w:r w:rsidRPr="00DE1A43">
        <w:t>drawings and specifications for service layouts</w:t>
      </w:r>
    </w:p>
    <w:p w:rsidR="00000000" w:rsidRPr="00DE1A43" w:rsidP="00DE1A43">
      <w:pPr>
        <w:pStyle w:val="ListBullet"/>
      </w:pPr>
      <w:r w:rsidRPr="00DE1A43">
        <w:t>sustainable supply and resource</w:t>
      </w:r>
      <w:r w:rsidRPr="00DE1A43">
        <w:t xml:space="preserve"> use including water, energy and waste disposal.</w:t>
      </w:r>
    </w:p>
    <w:p w:rsidR="00000000" w:rsidRPr="00DE1A43" w:rsidP="00DE1A43">
      <w:pPr>
        <w:pStyle w:val="AllowPageBreak"/>
      </w:pPr>
    </w:p>
    <w:p w:rsidR="00000000" w:rsidRPr="00DE1A43" w:rsidP="00DE1A43">
      <w:pPr>
        <w:pStyle w:val="Heading1"/>
      </w:pPr>
      <w:bookmarkStart w:id="12" w:name="O_1137744"/>
      <w:bookmarkEnd w:id="12"/>
      <w:r w:rsidRPr="00DE1A43">
        <w:t>Assessment Conditions</w:t>
      </w:r>
    </w:p>
    <w:p w:rsidR="00000000" w:rsidRPr="00DE1A43" w:rsidP="00B51FEE">
      <w:pPr>
        <w:pStyle w:val="BodyText"/>
      </w:pPr>
      <w:r w:rsidRPr="00DE1A43">
        <w:t xml:space="preserve">Assessors must meet the requirements for assessors contained in the Standards for Registered Training Organisations. Competency is to be assessed in the workplace or </w:t>
      </w:r>
      <w:r w:rsidRPr="00DE1A43">
        <w:t xml:space="preserve">a simulated environment that accurately </w:t>
      </w:r>
      <w:r w:rsidRPr="00DE1A43">
        <w:t>reflects performance in a real workplace setting where these skills and knowledge would be performed. This includes access to:</w:t>
      </w:r>
    </w:p>
    <w:p w:rsidR="00000000" w:rsidRPr="00DE1A43" w:rsidP="00DE1A43">
      <w:pPr>
        <w:pStyle w:val="ListBullet"/>
      </w:pPr>
      <w:r w:rsidRPr="00DE1A43">
        <w:t>relevant regulations, codes and standards</w:t>
      </w:r>
    </w:p>
    <w:p w:rsidR="00000000" w:rsidRPr="00DE1A43" w:rsidP="00DE1A43">
      <w:pPr>
        <w:pStyle w:val="ListBullet"/>
      </w:pPr>
      <w:r w:rsidRPr="00DE1A43">
        <w:t>computer with internet access and word process</w:t>
      </w:r>
      <w:r w:rsidRPr="00DE1A43">
        <w:t>ing software</w:t>
      </w:r>
    </w:p>
    <w:p w:rsidR="00000000" w:rsidRPr="00DE1A43" w:rsidP="00DE1A43">
      <w:pPr>
        <w:pStyle w:val="ListBullet"/>
      </w:pPr>
      <w:r w:rsidRPr="00DE1A43">
        <w:t>technical references with current information on services</w:t>
      </w:r>
    </w:p>
    <w:p w:rsidR="00000000" w:rsidRPr="00DE1A43" w:rsidP="00DE1A43">
      <w:pPr>
        <w:pStyle w:val="ListBullet"/>
      </w:pPr>
      <w:r w:rsidRPr="00DE1A43">
        <w:t>drafting equipment for computer or hand drawing.</w:t>
      </w:r>
    </w:p>
    <w:p w:rsidR="00000000" w:rsidRPr="00DE1A43" w:rsidP="00DE1A43">
      <w:pPr>
        <w:pStyle w:val="AllowPageBreak"/>
      </w:pPr>
    </w:p>
    <w:p w:rsidR="00000000" w:rsidRPr="00DE1A43" w:rsidP="00DE1A43">
      <w:pPr>
        <w:pStyle w:val="Heading1"/>
      </w:pPr>
      <w:bookmarkStart w:id="13" w:name="O_1137742"/>
      <w:bookmarkEnd w:id="13"/>
      <w:r w:rsidRPr="00DE1A43">
        <w:t>Links</w:t>
      </w:r>
    </w:p>
    <w:p w:rsidR="00000000" w:rsidRPr="00DE1A43" w:rsidP="00B51FEE">
      <w:pPr>
        <w:pStyle w:val="BodyText"/>
      </w:pPr>
      <w:r w:rsidRPr="00DE1A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B2A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E1A43" w:rsidP="00DE1A43"/>
    <w:sectPr w:rsidSect="00DE1A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43" w:rsidRPr="00B51FEE" w:rsidP="00B51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FEE" w:rsidP="00DE1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1FEE" w:rsidP="00DE1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51FEE" w:rsidP="00DE1A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43" w:rsidP="00DE1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1FEE">
      <w:t>Approved</w:t>
    </w:r>
    <w:r w:rsidR="00B51F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1F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1FEE">
      <w:rPr>
        <w:noProof/>
      </w:rPr>
      <w:t>5</w:t>
    </w:r>
    <w:r>
      <w:rPr>
        <w:noProof/>
      </w:rPr>
      <w:fldChar w:fldCharType="end"/>
    </w:r>
  </w:p>
  <w:p w:rsidR="00DE1A43" w:rsidP="00DE1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1F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1FEE">
      <w:t>BuildSkills Australia</w:t>
    </w:r>
    <w:r w:rsidR="00B51FEE">
      <w:fldChar w:fldCharType="end"/>
    </w:r>
  </w:p>
  <w:p w:rsidR="00DE1A43" w:rsidP="00DE1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A43" w:rsidRPr="00B51FEE" w:rsidP="00B51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FEE" w:rsidRPr="002D2AF8" w:rsidP="00DE1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CPPBDN4108 Draw layout of required services for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1FEE" w:rsidP="00DE1A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43" w:rsidRPr="002D2AF8" w:rsidP="00DE1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1FEE">
      <w:t>CPPBDN4108 Draw layout of required services for Class 1 and 10 buildings</w:t>
    </w:r>
    <w:r w:rsidR="00B51F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1FEE">
      <w:rPr>
        <w:noProof/>
      </w:rPr>
      <w:t>2 March 2025</w:t>
    </w:r>
    <w:r>
      <w:fldChar w:fldCharType="end"/>
    </w:r>
  </w:p>
  <w:p w:rsidR="00DE1A43" w:rsidP="00DE1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70F9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ECB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DE7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A43"/>
  </w:style>
  <w:style w:type="character" w:customStyle="1" w:styleId="Heading1Char">
    <w:name w:val="Heading 1 Char"/>
    <w:basedOn w:val="DefaultParagraphFont"/>
    <w:link w:val="Heading1"/>
    <w:rsid w:val="00DE1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A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A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A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1A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A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A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A43"/>
    <w:rPr>
      <w:b/>
      <w:spacing w:val="0"/>
    </w:rPr>
  </w:style>
  <w:style w:type="paragraph" w:customStyle="1" w:styleId="SuperTitle">
    <w:name w:val="SuperTitle"/>
    <w:basedOn w:val="Title"/>
    <w:rsid w:val="00DE1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A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A43"/>
    <w:rPr>
      <w:i/>
    </w:rPr>
  </w:style>
  <w:style w:type="paragraph" w:styleId="Caption">
    <w:name w:val="caption"/>
    <w:basedOn w:val="BodyText"/>
    <w:next w:val="Normal"/>
    <w:qFormat/>
    <w:rsid w:val="00DE1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A43"/>
  </w:style>
  <w:style w:type="paragraph" w:styleId="TableofFigures">
    <w:name w:val="table of figures"/>
    <w:basedOn w:val="Normal"/>
    <w:next w:val="Normal"/>
    <w:semiHidden/>
    <w:rsid w:val="00DE1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A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1A43"/>
    <w:rPr>
      <w:rFonts w:ascii="Wingdings" w:hAnsi="Wingdings"/>
    </w:rPr>
  </w:style>
  <w:style w:type="paragraph" w:customStyle="1" w:styleId="TableHeading">
    <w:name w:val="Table Heading"/>
    <w:basedOn w:val="HeadingBase"/>
    <w:rsid w:val="00DE1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A43"/>
    <w:rPr>
      <w:color w:val="0033CC"/>
      <w:u w:val="none"/>
    </w:rPr>
  </w:style>
  <w:style w:type="paragraph" w:customStyle="1" w:styleId="BodyTextRight">
    <w:name w:val="Body Text Right"/>
    <w:basedOn w:val="BodyText"/>
    <w:rsid w:val="00DE1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A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A43"/>
    <w:rPr>
      <w:sz w:val="32"/>
    </w:rPr>
  </w:style>
  <w:style w:type="paragraph" w:customStyle="1" w:styleId="HeadingProcedure">
    <w:name w:val="Heading Procedure"/>
    <w:basedOn w:val="HeadingBase"/>
    <w:next w:val="Normal"/>
    <w:rsid w:val="00DE1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A43"/>
    <w:pPr>
      <w:spacing w:before="60" w:after="60"/>
    </w:pPr>
  </w:style>
  <w:style w:type="paragraph" w:styleId="ListContinue">
    <w:name w:val="List Continue"/>
    <w:basedOn w:val="List"/>
    <w:rsid w:val="00DE1A43"/>
    <w:pPr>
      <w:ind w:firstLine="0"/>
    </w:pPr>
  </w:style>
  <w:style w:type="paragraph" w:customStyle="1" w:styleId="ListNote">
    <w:name w:val="List Note"/>
    <w:basedOn w:val="List"/>
    <w:rsid w:val="00DE1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A43"/>
    <w:rPr>
      <w:rFonts w:ascii="Courier New" w:hAnsi="Courier New"/>
    </w:rPr>
  </w:style>
  <w:style w:type="paragraph" w:customStyle="1" w:styleId="NoteBullet">
    <w:name w:val="Note Bullet"/>
    <w:basedOn w:val="Note"/>
    <w:rsid w:val="00DE1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A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A43"/>
    <w:rPr>
      <w:b/>
      <w:smallCaps/>
    </w:rPr>
  </w:style>
  <w:style w:type="paragraph" w:customStyle="1" w:styleId="TableListNumber">
    <w:name w:val="Table List Number"/>
    <w:basedOn w:val="ListNumber"/>
    <w:rsid w:val="00DE1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A43"/>
    <w:pPr>
      <w:numPr>
        <w:numId w:val="9"/>
      </w:numPr>
    </w:pPr>
  </w:style>
  <w:style w:type="paragraph" w:customStyle="1" w:styleId="ListAlpha2">
    <w:name w:val="List Alpha 2"/>
    <w:basedOn w:val="List2"/>
    <w:rsid w:val="00DE1A43"/>
    <w:pPr>
      <w:numPr>
        <w:numId w:val="8"/>
      </w:numPr>
    </w:pPr>
  </w:style>
  <w:style w:type="paragraph" w:styleId="List2">
    <w:name w:val="List 2"/>
    <w:basedOn w:val="BodyText"/>
    <w:rsid w:val="00DE1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A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A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A43"/>
    <w:pPr>
      <w:numPr>
        <w:numId w:val="4"/>
      </w:numPr>
    </w:pPr>
  </w:style>
  <w:style w:type="paragraph" w:styleId="ListContinue2">
    <w:name w:val="List Continue 2"/>
    <w:basedOn w:val="List2"/>
    <w:rsid w:val="00DE1A43"/>
    <w:pPr>
      <w:ind w:firstLine="0"/>
    </w:pPr>
  </w:style>
  <w:style w:type="paragraph" w:styleId="ListContinue3">
    <w:name w:val="List Continue 3"/>
    <w:basedOn w:val="List3"/>
    <w:rsid w:val="00DE1A43"/>
    <w:pPr>
      <w:ind w:left="1021" w:firstLine="0"/>
    </w:pPr>
  </w:style>
  <w:style w:type="paragraph" w:styleId="ListContinue4">
    <w:name w:val="List Continue 4"/>
    <w:basedOn w:val="List4"/>
    <w:rsid w:val="00DE1A43"/>
    <w:pPr>
      <w:ind w:firstLine="0"/>
    </w:pPr>
  </w:style>
  <w:style w:type="paragraph" w:styleId="ListContinue5">
    <w:name w:val="List Continue 5"/>
    <w:basedOn w:val="List5"/>
    <w:rsid w:val="00DE1A43"/>
    <w:pPr>
      <w:ind w:firstLine="0"/>
    </w:pPr>
  </w:style>
  <w:style w:type="paragraph" w:styleId="ListNumber3">
    <w:name w:val="List Number 3"/>
    <w:basedOn w:val="List3"/>
    <w:rsid w:val="00DE1A43"/>
    <w:pPr>
      <w:numPr>
        <w:numId w:val="5"/>
      </w:numPr>
    </w:pPr>
  </w:style>
  <w:style w:type="paragraph" w:styleId="ListNumber4">
    <w:name w:val="List Number 4"/>
    <w:basedOn w:val="List4"/>
    <w:rsid w:val="00DE1A43"/>
    <w:pPr>
      <w:numPr>
        <w:numId w:val="6"/>
      </w:numPr>
    </w:pPr>
  </w:style>
  <w:style w:type="paragraph" w:styleId="ListNumber5">
    <w:name w:val="List Number 5"/>
    <w:basedOn w:val="List5"/>
    <w:rsid w:val="00DE1A43"/>
    <w:pPr>
      <w:numPr>
        <w:numId w:val="7"/>
      </w:numPr>
    </w:pPr>
  </w:style>
  <w:style w:type="paragraph" w:styleId="BlockText">
    <w:name w:val="Block Text"/>
    <w:basedOn w:val="Normal"/>
    <w:rsid w:val="00DE1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A43"/>
    <w:rPr>
      <w:sz w:val="16"/>
      <w:vertAlign w:val="superscript"/>
    </w:rPr>
  </w:style>
  <w:style w:type="character" w:customStyle="1" w:styleId="Symbols">
    <w:name w:val="Symbols"/>
    <w:basedOn w:val="DefaultParagraphFont"/>
    <w:rsid w:val="00DE1A43"/>
    <w:rPr>
      <w:rFonts w:ascii="Symbol" w:hAnsi="Symbol"/>
    </w:rPr>
  </w:style>
  <w:style w:type="character" w:customStyle="1" w:styleId="MenuOptions">
    <w:name w:val="Menu Options"/>
    <w:basedOn w:val="DefaultParagraphFont"/>
    <w:rsid w:val="00DE1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A43"/>
    <w:rPr>
      <w:b/>
    </w:rPr>
  </w:style>
  <w:style w:type="character" w:customStyle="1" w:styleId="Underlined">
    <w:name w:val="Underlined"/>
    <w:basedOn w:val="DefaultParagraphFont"/>
    <w:rsid w:val="00DE1A43"/>
    <w:rPr>
      <w:u w:val="single"/>
    </w:rPr>
  </w:style>
  <w:style w:type="paragraph" w:customStyle="1" w:styleId="TableBodyTextRight">
    <w:name w:val="Table Body Text Right"/>
    <w:basedOn w:val="TableBodyText"/>
    <w:rsid w:val="00DE1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A43"/>
    <w:rPr>
      <w:sz w:val="18"/>
    </w:rPr>
  </w:style>
  <w:style w:type="paragraph" w:customStyle="1" w:styleId="BodySmallRight">
    <w:name w:val="Body Small Right"/>
    <w:basedOn w:val="BodyTextRight"/>
    <w:rsid w:val="00DE1A43"/>
    <w:rPr>
      <w:sz w:val="18"/>
      <w:szCs w:val="18"/>
    </w:rPr>
  </w:style>
  <w:style w:type="paragraph" w:customStyle="1" w:styleId="MarginEdition">
    <w:name w:val="Margin Edition"/>
    <w:basedOn w:val="MarginNote"/>
    <w:rsid w:val="00DE1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A43"/>
    <w:rPr>
      <w:sz w:val="2"/>
      <w:szCs w:val="2"/>
    </w:rPr>
  </w:style>
  <w:style w:type="character" w:customStyle="1" w:styleId="Small">
    <w:name w:val="Small"/>
    <w:basedOn w:val="DefaultParagraphFont"/>
    <w:rsid w:val="00DE1A43"/>
    <w:rPr>
      <w:sz w:val="16"/>
    </w:rPr>
  </w:style>
  <w:style w:type="paragraph" w:customStyle="1" w:styleId="WideTable">
    <w:name w:val="Wide Table"/>
    <w:basedOn w:val="Normal"/>
    <w:rsid w:val="00DE1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A43"/>
  </w:style>
  <w:style w:type="paragraph" w:styleId="Quote">
    <w:name w:val="Quote"/>
    <w:basedOn w:val="Heading1"/>
    <w:link w:val="QuoteChar"/>
    <w:qFormat/>
    <w:rsid w:val="00DE1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A43"/>
    <w:pPr>
      <w:pageBreakBefore/>
    </w:pPr>
  </w:style>
  <w:style w:type="paragraph" w:customStyle="1" w:styleId="Border">
    <w:name w:val="Border"/>
    <w:basedOn w:val="Normal"/>
    <w:qFormat/>
    <w:rsid w:val="00DE1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A43"/>
    <w:rPr>
      <w:u w:val="single"/>
    </w:rPr>
  </w:style>
  <w:style w:type="character" w:customStyle="1" w:styleId="BoldandItalics">
    <w:name w:val="Bold and Italics"/>
    <w:qFormat/>
    <w:rsid w:val="00DE1A43"/>
    <w:rPr>
      <w:b/>
      <w:i/>
      <w:u w:val="none"/>
    </w:rPr>
  </w:style>
  <w:style w:type="paragraph" w:styleId="BalloonText">
    <w:name w:val="Balloon Text"/>
    <w:basedOn w:val="Normal"/>
    <w:link w:val="BalloonTextChar"/>
    <w:rsid w:val="00DE1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A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A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A43"/>
    <w:pPr>
      <w:spacing w:before="0" w:after="0"/>
    </w:pPr>
  </w:style>
  <w:style w:type="paragraph" w:customStyle="1" w:styleId="BodyTextBold">
    <w:name w:val="Body Text Bold"/>
    <w:basedOn w:val="BodyText"/>
    <w:qFormat/>
    <w:rsid w:val="00DE1A43"/>
    <w:rPr>
      <w:b/>
    </w:rPr>
  </w:style>
  <w:style w:type="character" w:styleId="Hyperlink">
    <w:name w:val="Hyperlink"/>
    <w:basedOn w:val="DefaultParagraphFont"/>
    <w:uiPriority w:val="99"/>
    <w:unhideWhenUsed/>
    <w:rsid w:val="00B51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6647</Characters>
  <Application>Microsoft Office Word</Application>
  <DocSecurity>0</DocSecurity>
  <Lines>289</Lines>
  <Paragraphs>163</Paragraphs>
  <ScaleCrop>false</ScaleCrop>
  <Company>Author-it Software Corporation Ltd.</Company>
  <LinksUpToDate>false</LinksUpToDate>
  <CharactersWithSpaces>7540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CPPBDN4108 Draw layout of required services for Class 1 and 10 buildings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