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8FE" w:rsidP="006D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CPPBDN4102 Analyse building design drawings</w:t>
      </w:r>
      <w:r>
        <w:fldChar w:fldCharType="end"/>
      </w:r>
    </w:p>
    <w:p w:rsidR="006D38FE" w:rsidP="006D38FE">
      <w:pPr>
        <w:pStyle w:val="Version"/>
        <w:sectPr w:rsidSect="00EB2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5CB" w:rsidP="00EB25CB">
      <w:pPr>
        <w:pStyle w:val="SuperHeading"/>
      </w:pPr>
      <w:r w:rsidRPr="00EB25CB">
        <w:t>CPPBDN4102 Analyse building design drawings</w:t>
      </w:r>
    </w:p>
    <w:p w:rsidR="00000000" w:rsidRPr="00EB25CB" w:rsidP="00EB25CB">
      <w:pPr>
        <w:pStyle w:val="Heading1"/>
      </w:pPr>
      <w:bookmarkStart w:id="1" w:name="O_1137645"/>
      <w:bookmarkEnd w:id="1"/>
      <w:r w:rsidRPr="00EB2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CB" w:rsidP="00EB25CB">
            <w:pPr>
              <w:pStyle w:val="BodyText"/>
            </w:pPr>
            <w:r w:rsidRPr="00EB25CB">
              <w:t>This version first released with CPP Property Services Training Package Release 11.0.</w:t>
            </w:r>
          </w:p>
          <w:p w:rsidR="00000000" w:rsidRPr="00EB25CB" w:rsidP="00EB25CB">
            <w:pPr>
              <w:pStyle w:val="BodyText"/>
            </w:pPr>
            <w:r w:rsidRPr="00EB25CB">
              <w:t>Supersedes and is equivalent to CPPBDN4009 Analyse building design drawings and review findings. Title changed to clarify unit out</w:t>
            </w:r>
            <w:r w:rsidRPr="00EB25CB">
              <w:t>come.</w:t>
            </w:r>
          </w:p>
        </w:tc>
      </w:tr>
    </w:tbl>
    <w:p w:rsidR="00000000" w:rsidRPr="00EB25CB" w:rsidP="00EB25CB">
      <w:pPr>
        <w:pStyle w:val="BodyText"/>
      </w:pP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2" w:name="O_1137651"/>
      <w:bookmarkEnd w:id="2"/>
      <w:r w:rsidRPr="00EB25CB">
        <w:t>Application</w:t>
      </w:r>
    </w:p>
    <w:p w:rsidR="00000000" w:rsidRPr="00EB25CB" w:rsidP="006D38FE">
      <w:pPr>
        <w:pStyle w:val="BodyText"/>
      </w:pPr>
      <w:r w:rsidRPr="00EB25CB">
        <w:t>This unit specifies the skills and knowledge required to read, interpret and analyse building design drawings for Class 1 and 10 buildings, as defined in the National Construction Code (NCC). It covers interpreting co</w:t>
      </w:r>
      <w:r w:rsidRPr="00EB25CB">
        <w:t>nstruction industry conventions for drawings and analysing drawings for different projects to identify design and technical features.</w:t>
      </w:r>
    </w:p>
    <w:p w:rsidR="00000000" w:rsidRPr="00EB25CB" w:rsidP="006D38FE">
      <w:pPr>
        <w:pStyle w:val="BodyText"/>
      </w:pPr>
      <w:r w:rsidRPr="00EB25CB">
        <w:t>The unit applies to drafters who work under the supervision and instruction of building designers or architects and use sp</w:t>
      </w:r>
      <w:r w:rsidRPr="00EB25CB">
        <w:t>ecialised knowledge to complete routine and non-routine tasks and deal with predictable and sometimes unpredictable drafting problems.</w:t>
      </w:r>
    </w:p>
    <w:p w:rsidR="00000000" w:rsidRPr="00EB25CB" w:rsidP="006D38FE">
      <w:pPr>
        <w:pStyle w:val="BodyText"/>
      </w:pPr>
      <w:r w:rsidRPr="00EB25CB">
        <w:t>No licensing, legislative or certification requirements apply to this unit at the time of publication.</w:t>
      </w:r>
    </w:p>
    <w:p w:rsidR="00000000" w:rsidRPr="00EB25CB" w:rsidP="00EB25CB">
      <w:pPr>
        <w:pStyle w:val="Heading1"/>
      </w:pPr>
      <w:bookmarkStart w:id="3" w:name="O_1137650"/>
      <w:bookmarkEnd w:id="3"/>
      <w:r w:rsidRPr="00EB25CB">
        <w:t>Pre-requisite Unit</w:t>
      </w:r>
    </w:p>
    <w:p w:rsidR="00000000" w:rsidRPr="00EB25CB" w:rsidP="006D38FE">
      <w:pPr>
        <w:pStyle w:val="BodyText"/>
      </w:pPr>
      <w:r w:rsidRPr="00EB25CB">
        <w:t>Nil.</w:t>
      </w:r>
    </w:p>
    <w:p w:rsidR="00000000" w:rsidRPr="00EB25CB" w:rsidP="00EB25CB">
      <w:pPr>
        <w:pStyle w:val="Heading1"/>
      </w:pPr>
      <w:bookmarkStart w:id="4" w:name="O_1137649"/>
      <w:bookmarkEnd w:id="4"/>
      <w:r w:rsidRPr="00EB25CB">
        <w:t>Unit Sector</w:t>
      </w:r>
    </w:p>
    <w:p w:rsidR="00000000" w:rsidRPr="00EB25CB" w:rsidP="006D38FE">
      <w:pPr>
        <w:pStyle w:val="BodyText"/>
      </w:pPr>
      <w:r w:rsidRPr="00EB25CB">
        <w:t>Building Design</w:t>
      </w:r>
    </w:p>
    <w:p w:rsidR="00000000" w:rsidRPr="00EB25CB" w:rsidP="00EB25CB">
      <w:pPr>
        <w:pStyle w:val="Heading1"/>
      </w:pPr>
      <w:bookmarkStart w:id="5" w:name="O_1137648"/>
      <w:bookmarkEnd w:id="5"/>
      <w:r w:rsidRPr="00EB25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Perf</w:t>
            </w:r>
            <w:r w:rsidRPr="00EB25CB">
              <w:t>ormance criteria describe what needs to be done to demonstrate achievement of the element.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Interpret drawing conventions.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Identify sources and review types of drawings used in building design projects.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Identify and confirm industry standard </w:t>
            </w:r>
            <w:r w:rsidRPr="00EB25CB">
              <w:t>format and content requirements for building design drawings.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Identify and review types of views used in building </w:t>
            </w:r>
            <w:r w:rsidRPr="00EB25CB">
              <w:t>design drawings.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Identify and review technical drawing conventions used in building design drawings.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Identify and review architectural conventions used in building design drawings.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Identify and review notations used in building design drawings.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Analyse building design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Determine key features of site plans for building design project.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Determine key features of floor plans and sub-floor plans in project drawings.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Determine key features of elevations of each aspect of building in drawings.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Analyse sections of buildings to determine construction methods and features of internal design and finishes.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Identify anomalies or contradictions in building design drawings and seek advice from relevant personnel.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Analyse drawings from relevant external consultants.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Identify external consultants contributing to building design drawings.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Interpret land survey drawings to identify site topographical features.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 xml:space="preserve">Interpret structural engineering drawings to identify construction methods. 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Examine drawings and reports from relevant disciplines to determine services layout.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Confirm consultant recommendations for building design project from drawings and</w:t>
            </w:r>
            <w:r w:rsidRPr="00EB25CB">
              <w:t xml:space="preserve"> drawing notations.</w:t>
            </w:r>
          </w:p>
        </w:tc>
      </w:tr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CB" w:rsidP="00EB25CB">
            <w:pPr>
              <w:pStyle w:val="BodyText"/>
            </w:pPr>
            <w:r w:rsidRPr="00EB25CB">
              <w:t>Identify anomalies or contradictions in building design drawings and seek advice from relevant personnel.</w:t>
            </w:r>
          </w:p>
        </w:tc>
      </w:tr>
    </w:tbl>
    <w:p w:rsidR="00000000" w:rsidRPr="00EB25CB" w:rsidP="00EB25CB">
      <w:pPr>
        <w:pStyle w:val="BodyText"/>
      </w:pP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6" w:name="O_1137647"/>
      <w:bookmarkEnd w:id="6"/>
      <w:r w:rsidRPr="00EB25CB">
        <w:t>Foundation Skills</w:t>
      </w:r>
    </w:p>
    <w:p w:rsidR="00000000" w:rsidRPr="00EB25CB" w:rsidP="006D38FE">
      <w:pPr>
        <w:pStyle w:val="BodyText"/>
      </w:pPr>
      <w:r w:rsidRPr="00EB25CB">
        <w:t>As well as the foundation skills explicit in the performance criteria of this unit, candidates require:</w:t>
      </w:r>
    </w:p>
    <w:p w:rsidR="00000000" w:rsidRPr="00EB25CB" w:rsidP="00EB25CB">
      <w:pPr>
        <w:pStyle w:val="ListBullet"/>
      </w:pPr>
      <w:r w:rsidRPr="00EB25CB">
        <w:t>reading skills to interpret specialised vocabulary, abbreviations and acronyms specific to building design work, including terms used by external consu</w:t>
      </w:r>
      <w:r w:rsidRPr="00EB25CB">
        <w:t xml:space="preserve">ltants </w:t>
      </w:r>
    </w:p>
    <w:p w:rsidR="00000000" w:rsidRPr="00EB25CB" w:rsidP="00EB25CB">
      <w:pPr>
        <w:pStyle w:val="ListBullet"/>
      </w:pPr>
      <w:r w:rsidRPr="00EB25CB">
        <w:t>writing skills to make concise and technically accurate notes from drawings and reports</w:t>
      </w:r>
    </w:p>
    <w:p w:rsidR="00000000" w:rsidRPr="00EB25CB" w:rsidP="00EB25CB">
      <w:pPr>
        <w:pStyle w:val="ListBullet"/>
      </w:pPr>
      <w:r w:rsidRPr="00EB25CB">
        <w:t>numeracy skills to:</w:t>
      </w:r>
    </w:p>
    <w:p w:rsidR="00000000" w:rsidRPr="00EB25CB" w:rsidP="00EB25CB">
      <w:pPr>
        <w:pStyle w:val="ListBullet2"/>
      </w:pPr>
      <w:r w:rsidRPr="00EB25CB">
        <w:t>interpret and check the accuracy of numerical information in drawings and reports, including dimensions, ratios, scales and scale conversio</w:t>
      </w:r>
      <w:r w:rsidRPr="00EB25CB">
        <w:t>ns</w:t>
      </w:r>
    </w:p>
    <w:p w:rsidR="00000000" w:rsidRPr="00EB25CB" w:rsidP="00EB25CB">
      <w:pPr>
        <w:pStyle w:val="ListBullet2"/>
      </w:pPr>
      <w:r w:rsidRPr="00EB25CB">
        <w:t>use mathematical language to interpret drawings.</w:t>
      </w: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7" w:name="O_1137646"/>
      <w:bookmarkEnd w:id="7"/>
      <w:r w:rsidRPr="00EB25CB">
        <w:t>Unit Mapping Information</w:t>
      </w:r>
    </w:p>
    <w:p w:rsidR="00000000" w:rsidRPr="00EB25CB" w:rsidP="006D38FE">
      <w:pPr>
        <w:pStyle w:val="BodyText"/>
      </w:pPr>
      <w:r w:rsidRPr="00EB25CB">
        <w:t xml:space="preserve">Supersedes and is equivalent to CPPBDN4009 Analyse building design drawings and review findings. Title changed to clarify unit outcome. </w:t>
      </w:r>
    </w:p>
    <w:p w:rsidR="00000000" w:rsidRPr="00EB25CB" w:rsidP="00EB25CB">
      <w:pPr>
        <w:pStyle w:val="Heading1"/>
      </w:pPr>
      <w:bookmarkStart w:id="8" w:name="O_1137639"/>
      <w:bookmarkEnd w:id="8"/>
      <w:r w:rsidRPr="00EB25CB">
        <w:t>Links</w:t>
      </w:r>
    </w:p>
    <w:p w:rsidR="00000000" w:rsidRPr="00EB25CB" w:rsidP="006D38FE">
      <w:pPr>
        <w:pStyle w:val="BodyText"/>
      </w:pPr>
      <w:r w:rsidRPr="00EB25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66E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25CB" w:rsidP="006D38FE">
      <w:pPr>
        <w:pStyle w:val="BodyText"/>
        <w:sectPr w:rsidSect="00EB25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5CB" w:rsidP="00EB25CB">
      <w:pPr>
        <w:pStyle w:val="SuperHeading"/>
      </w:pPr>
      <w:r w:rsidRPr="00EB25CB">
        <w:t>Assessment Requirements for CPPBDN410</w:t>
      </w:r>
      <w:r w:rsidRPr="00EB25CB">
        <w:t>2 Analyse building design drawings</w:t>
      </w:r>
    </w:p>
    <w:p w:rsidR="00000000" w:rsidRPr="00EB25CB" w:rsidP="00EB25CB">
      <w:pPr>
        <w:pStyle w:val="Heading1"/>
      </w:pPr>
      <w:bookmarkStart w:id="9" w:name="O_1137641"/>
      <w:bookmarkEnd w:id="9"/>
      <w:r w:rsidRPr="00EB2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CB">
            <w:pPr>
              <w:pStyle w:val="BodyText"/>
              <w:rPr>
                <w:lang w:val="en-NZ"/>
              </w:rPr>
            </w:pPr>
            <w:r w:rsidRPr="00EB25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CB" w:rsidP="00EB25CB">
            <w:pPr>
              <w:pStyle w:val="BodyText"/>
            </w:pPr>
            <w:r w:rsidRPr="00EB25CB">
              <w:t>This version first released with CPP Property Services Training Package Release 11.0.</w:t>
            </w:r>
          </w:p>
          <w:p w:rsidR="00000000" w:rsidRPr="00EB25CB" w:rsidP="00EB25CB">
            <w:pPr>
              <w:pStyle w:val="BodyText"/>
            </w:pPr>
            <w:r w:rsidRPr="00EB25CB">
              <w:t>Supersedes and is equivalent to CPPBDN4009 Analyse building design drawings and review</w:t>
            </w:r>
            <w:r w:rsidRPr="00EB25CB">
              <w:t xml:space="preserve"> findings. Title changed to clarify unit outcome.</w:t>
            </w:r>
          </w:p>
        </w:tc>
      </w:tr>
    </w:tbl>
    <w:p w:rsidR="00000000" w:rsidRPr="00EB25CB" w:rsidP="00EB25CB">
      <w:pPr>
        <w:pStyle w:val="BodyText"/>
      </w:pP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10" w:name="O_1137644"/>
      <w:bookmarkEnd w:id="10"/>
      <w:r w:rsidRPr="00EB25CB">
        <w:t>Performance Evidence</w:t>
      </w:r>
    </w:p>
    <w:p w:rsidR="00000000" w:rsidRPr="00EB25CB" w:rsidP="006D38FE">
      <w:pPr>
        <w:pStyle w:val="BodyText"/>
      </w:pPr>
      <w:r w:rsidRPr="00EB25CB">
        <w:t>To demonstrate competency, a candidate must meet the performance criteria of this unit by analysing complete sets of working drawings to identify design and technic</w:t>
      </w:r>
      <w:r w:rsidRPr="00EB25CB">
        <w:t>al features for the following buildings classified according to the National Construction Code (NCC):</w:t>
      </w:r>
    </w:p>
    <w:p w:rsidR="00000000" w:rsidRPr="00EB25CB" w:rsidP="00EB25CB">
      <w:pPr>
        <w:pStyle w:val="ListBullet"/>
      </w:pPr>
      <w:r w:rsidRPr="00EB25CB">
        <w:t>a single-storey Class 1 building with one Class 10 building</w:t>
      </w:r>
    </w:p>
    <w:p w:rsidR="00000000" w:rsidRPr="00EB25CB" w:rsidP="00EB25CB">
      <w:pPr>
        <w:pStyle w:val="ListBullet"/>
      </w:pPr>
      <w:r w:rsidRPr="00EB25CB">
        <w:t>a two-storey Class 1 building.</w:t>
      </w: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11" w:name="O_1137643"/>
      <w:bookmarkEnd w:id="11"/>
      <w:r w:rsidRPr="00EB25CB">
        <w:t>Knowledge Evidence</w:t>
      </w:r>
    </w:p>
    <w:p w:rsidR="00000000" w:rsidRPr="00EB25CB" w:rsidP="006D38FE">
      <w:pPr>
        <w:pStyle w:val="BodyText"/>
      </w:pPr>
      <w:r w:rsidRPr="00EB25CB">
        <w:t>To be competent in this unit, a candidate must demonstrate knowledge of:</w:t>
      </w:r>
    </w:p>
    <w:p w:rsidR="00000000" w:rsidRPr="00EB25CB" w:rsidP="00EB25CB">
      <w:pPr>
        <w:pStyle w:val="ListBullet"/>
      </w:pPr>
      <w:r w:rsidRPr="00EB25CB">
        <w:t>NCC building classifications</w:t>
      </w:r>
    </w:p>
    <w:p w:rsidR="00000000" w:rsidRPr="00EB25CB" w:rsidP="00EB25CB">
      <w:pPr>
        <w:pStyle w:val="ListBullet"/>
      </w:pPr>
      <w:r w:rsidRPr="00EB25CB">
        <w:t>construction techniques, processes and materials and their application in drawings for Class 1 and 10 buildings</w:t>
      </w:r>
    </w:p>
    <w:p w:rsidR="00000000" w:rsidRPr="00EB25CB" w:rsidP="00EB25CB">
      <w:pPr>
        <w:pStyle w:val="ListBullet"/>
      </w:pPr>
      <w:r w:rsidRPr="00EB25CB">
        <w:t>construction terminology used in building</w:t>
      </w:r>
      <w:r w:rsidRPr="00EB25CB">
        <w:t xml:space="preserve"> design drawings</w:t>
      </w:r>
    </w:p>
    <w:p w:rsidR="00000000" w:rsidRPr="00EB25CB" w:rsidP="00EB25CB">
      <w:pPr>
        <w:pStyle w:val="ListBullet"/>
      </w:pPr>
      <w:r w:rsidRPr="00EB25CB">
        <w:t>conventions and formats used for building design drawings:</w:t>
      </w:r>
    </w:p>
    <w:p w:rsidR="00000000" w:rsidRPr="00EB25CB" w:rsidP="00EB25CB">
      <w:pPr>
        <w:pStyle w:val="ListBullet2"/>
      </w:pPr>
      <w:r w:rsidRPr="00EB25CB">
        <w:t>dimensioning</w:t>
      </w:r>
    </w:p>
    <w:p w:rsidR="00000000" w:rsidRPr="00EB25CB" w:rsidP="00EB25CB">
      <w:pPr>
        <w:pStyle w:val="ListBullet2"/>
      </w:pPr>
      <w:r w:rsidRPr="00EB25CB">
        <w:t>orientation</w:t>
      </w:r>
    </w:p>
    <w:p w:rsidR="00000000" w:rsidRPr="00EB25CB" w:rsidP="00EB25CB">
      <w:pPr>
        <w:pStyle w:val="ListBullet2"/>
      </w:pPr>
      <w:r w:rsidRPr="00EB25CB">
        <w:t>representations of doors, windows, fittings, fixtures and materials</w:t>
      </w:r>
    </w:p>
    <w:p w:rsidR="00000000" w:rsidRPr="00EB25CB" w:rsidP="00EB25CB">
      <w:pPr>
        <w:pStyle w:val="ListBullet"/>
      </w:pPr>
      <w:r w:rsidRPr="00EB25CB">
        <w:t>conventions and formats used for general technical drawings:</w:t>
      </w:r>
    </w:p>
    <w:p w:rsidR="00000000" w:rsidRPr="00EB25CB" w:rsidP="00EB25CB">
      <w:pPr>
        <w:pStyle w:val="ListBullet2"/>
      </w:pPr>
      <w:r w:rsidRPr="00EB25CB">
        <w:t>abbreviations</w:t>
      </w:r>
    </w:p>
    <w:p w:rsidR="00000000" w:rsidRPr="00EB25CB" w:rsidP="00EB25CB">
      <w:pPr>
        <w:pStyle w:val="ListBullet2"/>
      </w:pPr>
      <w:r w:rsidRPr="00EB25CB">
        <w:t>dimensioning lines</w:t>
      </w:r>
    </w:p>
    <w:p w:rsidR="00000000" w:rsidRPr="00EB25CB" w:rsidP="00EB25CB">
      <w:pPr>
        <w:pStyle w:val="ListBullet2"/>
      </w:pPr>
      <w:r w:rsidRPr="00EB25CB">
        <w:t>gradients</w:t>
      </w:r>
    </w:p>
    <w:p w:rsidR="00000000" w:rsidRPr="00EB25CB" w:rsidP="00EB25CB">
      <w:pPr>
        <w:pStyle w:val="ListBullet2"/>
      </w:pPr>
      <w:r w:rsidRPr="00EB25CB">
        <w:t>levels</w:t>
      </w:r>
    </w:p>
    <w:p w:rsidR="00000000" w:rsidRPr="00EB25CB" w:rsidP="00EB25CB">
      <w:pPr>
        <w:pStyle w:val="ListBullet2"/>
      </w:pPr>
      <w:r w:rsidRPr="00EB25CB">
        <w:t>scales</w:t>
      </w:r>
    </w:p>
    <w:p w:rsidR="00000000" w:rsidRPr="00EB25CB" w:rsidP="00EB25CB">
      <w:pPr>
        <w:pStyle w:val="ListBullet2"/>
      </w:pPr>
      <w:r w:rsidRPr="00EB25CB">
        <w:t>symbols</w:t>
      </w:r>
    </w:p>
    <w:p w:rsidR="00000000" w:rsidRPr="00EB25CB" w:rsidP="00EB25CB">
      <w:pPr>
        <w:pStyle w:val="ListBullet"/>
      </w:pPr>
      <w:r w:rsidRPr="00EB25CB">
        <w:t>key requirements of drawing standards:</w:t>
      </w:r>
    </w:p>
    <w:p w:rsidR="00000000" w:rsidRPr="00EB25CB" w:rsidP="00EB25CB">
      <w:pPr>
        <w:pStyle w:val="ListBullet2"/>
      </w:pPr>
      <w:r w:rsidRPr="00EB25CB">
        <w:t>AS 1100.101 Technical drawing - General principles</w:t>
      </w:r>
    </w:p>
    <w:p w:rsidR="00000000" w:rsidRPr="00EB25CB" w:rsidP="00EB25CB">
      <w:pPr>
        <w:pStyle w:val="ListBullet2"/>
      </w:pPr>
      <w:r w:rsidRPr="00EB25CB">
        <w:t>AS 1100.301 Technical drawing - Architectural drawing</w:t>
      </w:r>
    </w:p>
    <w:p w:rsidR="00000000" w:rsidRPr="00EB25CB" w:rsidP="00EB25CB">
      <w:pPr>
        <w:pStyle w:val="ListBullet"/>
      </w:pPr>
      <w:r w:rsidRPr="00EB25CB">
        <w:t>drawings relevant to building design projects:</w:t>
      </w:r>
    </w:p>
    <w:p w:rsidR="00000000" w:rsidRPr="00EB25CB" w:rsidP="00EB25CB">
      <w:pPr>
        <w:pStyle w:val="ListBullet2"/>
      </w:pPr>
      <w:r w:rsidRPr="00EB25CB">
        <w:t>plan views</w:t>
      </w:r>
    </w:p>
    <w:p w:rsidR="00000000" w:rsidRPr="00EB25CB" w:rsidP="00EB25CB">
      <w:pPr>
        <w:pStyle w:val="ListBullet2"/>
      </w:pPr>
      <w:r w:rsidRPr="00EB25CB">
        <w:t>elevation views</w:t>
      </w:r>
    </w:p>
    <w:p w:rsidR="00000000" w:rsidRPr="00EB25CB" w:rsidP="00EB25CB">
      <w:pPr>
        <w:pStyle w:val="ListBullet2"/>
      </w:pPr>
      <w:r w:rsidRPr="00EB25CB">
        <w:t>section views</w:t>
      </w:r>
    </w:p>
    <w:p w:rsidR="00000000" w:rsidRPr="00EB25CB" w:rsidP="00EB25CB">
      <w:pPr>
        <w:pStyle w:val="ListBullet2"/>
      </w:pPr>
      <w:r w:rsidRPr="00EB25CB">
        <w:t>3-D views</w:t>
      </w:r>
    </w:p>
    <w:p w:rsidR="00000000" w:rsidRPr="00EB25CB" w:rsidP="00EB25CB">
      <w:pPr>
        <w:pStyle w:val="ListBullet2"/>
      </w:pPr>
      <w:r w:rsidRPr="00EB25CB">
        <w:t>detail views</w:t>
      </w:r>
    </w:p>
    <w:p w:rsidR="00000000" w:rsidRPr="00EB25CB" w:rsidP="00EB25CB">
      <w:pPr>
        <w:pStyle w:val="ListBullet2"/>
      </w:pPr>
      <w:r w:rsidRPr="00EB25CB">
        <w:t>specifications</w:t>
      </w:r>
    </w:p>
    <w:p w:rsidR="00000000" w:rsidRPr="00EB25CB" w:rsidP="00EB25CB">
      <w:pPr>
        <w:pStyle w:val="ListBullet"/>
      </w:pPr>
      <w:r w:rsidRPr="00EB25CB">
        <w:t>key features of site plans:</w:t>
      </w:r>
    </w:p>
    <w:p w:rsidR="00000000" w:rsidRPr="00EB25CB" w:rsidP="00EB25CB">
      <w:pPr>
        <w:pStyle w:val="ListBullet2"/>
      </w:pPr>
      <w:r w:rsidRPr="00EB25CB">
        <w:t>site boundaries and dimensions</w:t>
      </w:r>
    </w:p>
    <w:p w:rsidR="00000000" w:rsidRPr="00EB25CB" w:rsidP="00EB25CB">
      <w:pPr>
        <w:pStyle w:val="ListBullet2"/>
      </w:pPr>
      <w:r w:rsidRPr="00EB25CB">
        <w:t>locations and orientations of buildings</w:t>
      </w:r>
    </w:p>
    <w:p w:rsidR="00000000" w:rsidRPr="00EB25CB" w:rsidP="00EB25CB">
      <w:pPr>
        <w:pStyle w:val="ListBullet2"/>
      </w:pPr>
      <w:r w:rsidRPr="00EB25CB">
        <w:t>locations of services, retaining walls, fences, driveways and walkways</w:t>
      </w:r>
    </w:p>
    <w:p w:rsidR="00000000" w:rsidRPr="00EB25CB" w:rsidP="00EB25CB">
      <w:pPr>
        <w:pStyle w:val="ListBullet2"/>
      </w:pPr>
      <w:r w:rsidRPr="00EB25CB">
        <w:t>setback requirements</w:t>
      </w:r>
    </w:p>
    <w:p w:rsidR="00000000" w:rsidRPr="00EB25CB" w:rsidP="00EB25CB">
      <w:pPr>
        <w:pStyle w:val="ListBullet2"/>
      </w:pPr>
      <w:r w:rsidRPr="00EB25CB">
        <w:t>easements</w:t>
      </w:r>
    </w:p>
    <w:p w:rsidR="00000000" w:rsidRPr="00EB25CB" w:rsidP="00EB25CB">
      <w:pPr>
        <w:pStyle w:val="ListBullet2"/>
      </w:pPr>
      <w:r w:rsidRPr="00EB25CB">
        <w:t>topographical data.</w:t>
      </w: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12" w:name="O_1137642"/>
      <w:bookmarkEnd w:id="12"/>
      <w:r w:rsidRPr="00EB25CB">
        <w:t>Assessment Conditions</w:t>
      </w:r>
    </w:p>
    <w:p w:rsidR="00000000" w:rsidRPr="00EB25CB" w:rsidP="006D38FE">
      <w:pPr>
        <w:pStyle w:val="BodyText"/>
      </w:pPr>
      <w:r w:rsidRPr="00EB25CB">
        <w:t>Assessors must meet the requirements for assessors contained in the Standards for Registered Training Organisations. Competency is to be assessed in the workplace o</w:t>
      </w:r>
      <w:r w:rsidRPr="00EB25CB">
        <w:t>r a simulated environment that accurately reflects performance in a real workplace setting where these skills and knowledge would be performed. This includes access to:</w:t>
      </w:r>
    </w:p>
    <w:p w:rsidR="00000000" w:rsidRPr="00EB25CB" w:rsidP="00EB25CB">
      <w:pPr>
        <w:pStyle w:val="ListBullet"/>
      </w:pPr>
      <w:r w:rsidRPr="00EB25CB">
        <w:t>computer with internet and relevant software</w:t>
      </w:r>
    </w:p>
    <w:p w:rsidR="00000000" w:rsidRPr="00EB25CB" w:rsidP="00EB25CB">
      <w:pPr>
        <w:pStyle w:val="ListBullet"/>
      </w:pPr>
      <w:r w:rsidRPr="00EB25CB">
        <w:t>relevant regulations, codes and standards</w:t>
      </w:r>
    </w:p>
    <w:p w:rsidR="00000000" w:rsidRPr="00EB25CB" w:rsidP="00EB25CB">
      <w:pPr>
        <w:pStyle w:val="ListBullet"/>
      </w:pPr>
      <w:r w:rsidRPr="00EB25CB">
        <w:t>working drawings for building projects.</w:t>
      </w:r>
    </w:p>
    <w:p w:rsidR="00000000" w:rsidRPr="00EB25CB" w:rsidP="00EB25CB">
      <w:pPr>
        <w:pStyle w:val="AllowPageBreak"/>
      </w:pPr>
    </w:p>
    <w:p w:rsidR="00000000" w:rsidRPr="00EB25CB" w:rsidP="00EB25CB">
      <w:pPr>
        <w:pStyle w:val="Heading1"/>
      </w:pPr>
      <w:bookmarkStart w:id="13" w:name="O_1137640"/>
      <w:bookmarkEnd w:id="13"/>
      <w:r w:rsidRPr="00EB25CB">
        <w:t>Links</w:t>
      </w:r>
    </w:p>
    <w:p w:rsidR="00000000" w:rsidRPr="00EB25CB" w:rsidP="006D38FE">
      <w:pPr>
        <w:pStyle w:val="BodyText"/>
      </w:pPr>
      <w:r w:rsidRPr="00EB25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66E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25CB" w:rsidP="00EB25CB"/>
    <w:sectPr w:rsidSect="00EB25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 w:rsidRPr="006D38FE" w:rsidP="006D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FE" w:rsidP="00EB2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8FE" w:rsidP="00EB2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38FE" w:rsidP="00EB25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 w:rsidP="00EB2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8FE">
      <w:t>Approved</w:t>
    </w:r>
    <w:r w:rsidR="006D38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8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8FE">
      <w:rPr>
        <w:noProof/>
      </w:rPr>
      <w:t>4</w:t>
    </w:r>
    <w:r>
      <w:rPr>
        <w:noProof/>
      </w:rPr>
      <w:fldChar w:fldCharType="end"/>
    </w:r>
  </w:p>
  <w:p w:rsidR="00EB25CB" w:rsidP="00EB2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8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8FE">
      <w:t>BuildSkills Australia</w:t>
    </w:r>
    <w:r w:rsidR="006D38FE">
      <w:fldChar w:fldCharType="end"/>
    </w:r>
  </w:p>
  <w:p w:rsidR="00EB25CB" w:rsidP="00EB2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5CB" w:rsidRPr="006D38FE" w:rsidP="006D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8FE" w:rsidRPr="002D2AF8" w:rsidP="00EB2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CPPBDN4102 Analyse building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38FE" w:rsidP="00EB25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B" w:rsidRPr="002D2AF8" w:rsidP="00EB2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8FE">
      <w:t>CPPBDN4102 Analyse building design drawings</w:t>
    </w:r>
    <w:r w:rsidR="006D38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8FE">
      <w:rPr>
        <w:noProof/>
      </w:rPr>
      <w:t>2 March 2025</w:t>
    </w:r>
    <w:r>
      <w:fldChar w:fldCharType="end"/>
    </w:r>
  </w:p>
  <w:p w:rsidR="00EB25CB" w:rsidP="00EB2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AB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66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A1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5CB"/>
  </w:style>
  <w:style w:type="character" w:customStyle="1" w:styleId="Heading1Char">
    <w:name w:val="Heading 1 Char"/>
    <w:basedOn w:val="DefaultParagraphFont"/>
    <w:link w:val="Heading1"/>
    <w:rsid w:val="00EB2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5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5CB"/>
    <w:rPr>
      <w:b/>
      <w:spacing w:val="0"/>
    </w:rPr>
  </w:style>
  <w:style w:type="paragraph" w:customStyle="1" w:styleId="SuperTitle">
    <w:name w:val="SuperTitle"/>
    <w:basedOn w:val="Title"/>
    <w:rsid w:val="00EB2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5CB"/>
    <w:rPr>
      <w:i/>
    </w:rPr>
  </w:style>
  <w:style w:type="paragraph" w:styleId="Caption">
    <w:name w:val="caption"/>
    <w:basedOn w:val="BodyText"/>
    <w:next w:val="Normal"/>
    <w:qFormat/>
    <w:rsid w:val="00EB2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5CB"/>
  </w:style>
  <w:style w:type="paragraph" w:styleId="TableofFigures">
    <w:name w:val="table of figures"/>
    <w:basedOn w:val="Normal"/>
    <w:next w:val="Normal"/>
    <w:semiHidden/>
    <w:rsid w:val="00EB2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5CB"/>
    <w:rPr>
      <w:rFonts w:ascii="Wingdings" w:hAnsi="Wingdings"/>
    </w:rPr>
  </w:style>
  <w:style w:type="paragraph" w:customStyle="1" w:styleId="TableHeading">
    <w:name w:val="Table Heading"/>
    <w:basedOn w:val="HeadingBase"/>
    <w:rsid w:val="00EB2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5CB"/>
    <w:rPr>
      <w:color w:val="0033CC"/>
      <w:u w:val="none"/>
    </w:rPr>
  </w:style>
  <w:style w:type="paragraph" w:customStyle="1" w:styleId="BodyTextRight">
    <w:name w:val="Body Text Right"/>
    <w:basedOn w:val="BodyText"/>
    <w:rsid w:val="00EB2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5CB"/>
    <w:rPr>
      <w:sz w:val="32"/>
    </w:rPr>
  </w:style>
  <w:style w:type="paragraph" w:customStyle="1" w:styleId="HeadingProcedure">
    <w:name w:val="Heading Procedure"/>
    <w:basedOn w:val="HeadingBase"/>
    <w:next w:val="Normal"/>
    <w:rsid w:val="00EB2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5CB"/>
    <w:pPr>
      <w:spacing w:before="60" w:after="60"/>
    </w:pPr>
  </w:style>
  <w:style w:type="paragraph" w:styleId="ListContinue">
    <w:name w:val="List Continue"/>
    <w:basedOn w:val="List"/>
    <w:rsid w:val="00EB25CB"/>
    <w:pPr>
      <w:ind w:firstLine="0"/>
    </w:pPr>
  </w:style>
  <w:style w:type="paragraph" w:customStyle="1" w:styleId="ListNote">
    <w:name w:val="List Note"/>
    <w:basedOn w:val="List"/>
    <w:rsid w:val="00EB2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5CB"/>
    <w:rPr>
      <w:rFonts w:ascii="Courier New" w:hAnsi="Courier New"/>
    </w:rPr>
  </w:style>
  <w:style w:type="paragraph" w:customStyle="1" w:styleId="NoteBullet">
    <w:name w:val="Note Bullet"/>
    <w:basedOn w:val="Note"/>
    <w:rsid w:val="00EB2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5CB"/>
    <w:rPr>
      <w:b/>
      <w:smallCaps/>
    </w:rPr>
  </w:style>
  <w:style w:type="paragraph" w:customStyle="1" w:styleId="TableListNumber">
    <w:name w:val="Table List Number"/>
    <w:basedOn w:val="ListNumber"/>
    <w:rsid w:val="00EB2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5CB"/>
    <w:pPr>
      <w:numPr>
        <w:numId w:val="9"/>
      </w:numPr>
    </w:pPr>
  </w:style>
  <w:style w:type="paragraph" w:customStyle="1" w:styleId="ListAlpha2">
    <w:name w:val="List Alpha 2"/>
    <w:basedOn w:val="List2"/>
    <w:rsid w:val="00EB25CB"/>
    <w:pPr>
      <w:numPr>
        <w:numId w:val="8"/>
      </w:numPr>
    </w:pPr>
  </w:style>
  <w:style w:type="paragraph" w:styleId="List2">
    <w:name w:val="List 2"/>
    <w:basedOn w:val="BodyText"/>
    <w:rsid w:val="00EB2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5CB"/>
    <w:pPr>
      <w:numPr>
        <w:numId w:val="4"/>
      </w:numPr>
    </w:pPr>
  </w:style>
  <w:style w:type="paragraph" w:styleId="ListContinue2">
    <w:name w:val="List Continue 2"/>
    <w:basedOn w:val="List2"/>
    <w:rsid w:val="00EB25CB"/>
    <w:pPr>
      <w:ind w:firstLine="0"/>
    </w:pPr>
  </w:style>
  <w:style w:type="paragraph" w:styleId="ListContinue3">
    <w:name w:val="List Continue 3"/>
    <w:basedOn w:val="List3"/>
    <w:rsid w:val="00EB25CB"/>
    <w:pPr>
      <w:ind w:left="1021" w:firstLine="0"/>
    </w:pPr>
  </w:style>
  <w:style w:type="paragraph" w:styleId="ListContinue4">
    <w:name w:val="List Continue 4"/>
    <w:basedOn w:val="List4"/>
    <w:rsid w:val="00EB25CB"/>
    <w:pPr>
      <w:ind w:firstLine="0"/>
    </w:pPr>
  </w:style>
  <w:style w:type="paragraph" w:styleId="ListContinue5">
    <w:name w:val="List Continue 5"/>
    <w:basedOn w:val="List5"/>
    <w:rsid w:val="00EB25CB"/>
    <w:pPr>
      <w:ind w:firstLine="0"/>
    </w:pPr>
  </w:style>
  <w:style w:type="paragraph" w:styleId="ListNumber3">
    <w:name w:val="List Number 3"/>
    <w:basedOn w:val="List3"/>
    <w:rsid w:val="00EB25CB"/>
    <w:pPr>
      <w:numPr>
        <w:numId w:val="5"/>
      </w:numPr>
    </w:pPr>
  </w:style>
  <w:style w:type="paragraph" w:styleId="ListNumber4">
    <w:name w:val="List Number 4"/>
    <w:basedOn w:val="List4"/>
    <w:rsid w:val="00EB25CB"/>
    <w:pPr>
      <w:numPr>
        <w:numId w:val="6"/>
      </w:numPr>
    </w:pPr>
  </w:style>
  <w:style w:type="paragraph" w:styleId="ListNumber5">
    <w:name w:val="List Number 5"/>
    <w:basedOn w:val="List5"/>
    <w:rsid w:val="00EB25CB"/>
    <w:pPr>
      <w:numPr>
        <w:numId w:val="7"/>
      </w:numPr>
    </w:pPr>
  </w:style>
  <w:style w:type="paragraph" w:styleId="BlockText">
    <w:name w:val="Block Text"/>
    <w:basedOn w:val="Normal"/>
    <w:rsid w:val="00EB2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5CB"/>
    <w:rPr>
      <w:sz w:val="16"/>
      <w:vertAlign w:val="superscript"/>
    </w:rPr>
  </w:style>
  <w:style w:type="character" w:customStyle="1" w:styleId="Symbols">
    <w:name w:val="Symbols"/>
    <w:basedOn w:val="DefaultParagraphFont"/>
    <w:rsid w:val="00EB25CB"/>
    <w:rPr>
      <w:rFonts w:ascii="Symbol" w:hAnsi="Symbol"/>
    </w:rPr>
  </w:style>
  <w:style w:type="character" w:customStyle="1" w:styleId="MenuOptions">
    <w:name w:val="Menu Options"/>
    <w:basedOn w:val="DefaultParagraphFont"/>
    <w:rsid w:val="00EB2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5CB"/>
    <w:rPr>
      <w:b/>
    </w:rPr>
  </w:style>
  <w:style w:type="character" w:customStyle="1" w:styleId="Underlined">
    <w:name w:val="Underlined"/>
    <w:basedOn w:val="DefaultParagraphFont"/>
    <w:rsid w:val="00EB25CB"/>
    <w:rPr>
      <w:u w:val="single"/>
    </w:rPr>
  </w:style>
  <w:style w:type="paragraph" w:customStyle="1" w:styleId="TableBodyTextRight">
    <w:name w:val="Table Body Text Right"/>
    <w:basedOn w:val="TableBodyText"/>
    <w:rsid w:val="00EB2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5CB"/>
    <w:rPr>
      <w:sz w:val="18"/>
    </w:rPr>
  </w:style>
  <w:style w:type="paragraph" w:customStyle="1" w:styleId="BodySmallRight">
    <w:name w:val="Body Small Right"/>
    <w:basedOn w:val="BodyTextRight"/>
    <w:rsid w:val="00EB25CB"/>
    <w:rPr>
      <w:sz w:val="18"/>
      <w:szCs w:val="18"/>
    </w:rPr>
  </w:style>
  <w:style w:type="paragraph" w:customStyle="1" w:styleId="MarginEdition">
    <w:name w:val="Margin Edition"/>
    <w:basedOn w:val="MarginNote"/>
    <w:rsid w:val="00EB2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5CB"/>
    <w:rPr>
      <w:sz w:val="2"/>
      <w:szCs w:val="2"/>
    </w:rPr>
  </w:style>
  <w:style w:type="character" w:customStyle="1" w:styleId="Small">
    <w:name w:val="Small"/>
    <w:basedOn w:val="DefaultParagraphFont"/>
    <w:rsid w:val="00EB25CB"/>
    <w:rPr>
      <w:sz w:val="16"/>
    </w:rPr>
  </w:style>
  <w:style w:type="paragraph" w:customStyle="1" w:styleId="WideTable">
    <w:name w:val="Wide Table"/>
    <w:basedOn w:val="Normal"/>
    <w:rsid w:val="00EB2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5CB"/>
  </w:style>
  <w:style w:type="paragraph" w:styleId="Quote">
    <w:name w:val="Quote"/>
    <w:basedOn w:val="Heading1"/>
    <w:link w:val="QuoteChar"/>
    <w:qFormat/>
    <w:rsid w:val="00EB2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5CB"/>
    <w:pPr>
      <w:pageBreakBefore/>
    </w:pPr>
  </w:style>
  <w:style w:type="paragraph" w:customStyle="1" w:styleId="Border">
    <w:name w:val="Border"/>
    <w:basedOn w:val="Normal"/>
    <w:qFormat/>
    <w:rsid w:val="00EB2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5CB"/>
    <w:rPr>
      <w:u w:val="single"/>
    </w:rPr>
  </w:style>
  <w:style w:type="character" w:customStyle="1" w:styleId="BoldandItalics">
    <w:name w:val="Bold and Italics"/>
    <w:qFormat/>
    <w:rsid w:val="00EB25CB"/>
    <w:rPr>
      <w:b/>
      <w:i/>
      <w:u w:val="none"/>
    </w:rPr>
  </w:style>
  <w:style w:type="paragraph" w:styleId="BalloonText">
    <w:name w:val="Balloon Text"/>
    <w:basedOn w:val="Normal"/>
    <w:link w:val="BalloonTextChar"/>
    <w:rsid w:val="00EB2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5CB"/>
    <w:pPr>
      <w:spacing w:before="0" w:after="0"/>
    </w:pPr>
  </w:style>
  <w:style w:type="paragraph" w:customStyle="1" w:styleId="BodyTextBold">
    <w:name w:val="Body Text Bold"/>
    <w:basedOn w:val="BodyText"/>
    <w:qFormat/>
    <w:rsid w:val="00EB25CB"/>
    <w:rPr>
      <w:b/>
    </w:rPr>
  </w:style>
  <w:style w:type="character" w:styleId="Hyperlink">
    <w:name w:val="Hyperlink"/>
    <w:basedOn w:val="DefaultParagraphFont"/>
    <w:uiPriority w:val="99"/>
    <w:unhideWhenUsed/>
    <w:rsid w:val="006D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5713</Characters>
  <Application>Microsoft Office Word</Application>
  <DocSecurity>0</DocSecurity>
  <Lines>228</Lines>
  <Paragraphs>140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CPPBDN4102 Analyse building design drawings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