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E79" w:rsidP="00561E79">
      <w:pPr>
        <w:pStyle w:val="Title"/>
      </w:pPr>
      <w:r>
        <w:fldChar w:fldCharType="begin"/>
      </w:r>
      <w:r>
        <w:instrText xml:space="preserve"> TITLE   \* MERGEFORMAT </w:instrText>
      </w:r>
      <w:r>
        <w:fldChar w:fldCharType="separate"/>
      </w:r>
      <w:r>
        <w:t>CPPBDN4009 Analyse building design drawings and review findings</w:t>
      </w:r>
      <w:r>
        <w:fldChar w:fldCharType="end"/>
      </w:r>
    </w:p>
    <w:p w:rsidR="00561E79" w:rsidP="00561E79">
      <w:pPr>
        <w:pStyle w:val="Version"/>
        <w:sectPr w:rsidSect="001921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10E" w:rsidP="0019210E">
      <w:pPr>
        <w:pStyle w:val="SuperHeading"/>
      </w:pPr>
      <w:r w:rsidRPr="0019210E">
        <w:t>CPPBDN4009 Analyse building design drawings and review findings</w:t>
      </w:r>
    </w:p>
    <w:p w:rsidR="00000000" w:rsidRPr="0019210E" w:rsidP="0019210E">
      <w:pPr>
        <w:pStyle w:val="Heading1"/>
      </w:pPr>
      <w:bookmarkStart w:id="1" w:name="O_660983"/>
      <w:bookmarkEnd w:id="1"/>
      <w:r w:rsidRPr="0019210E">
        <w:t>Modification History</w:t>
      </w:r>
    </w:p>
    <w:p w:rsidR="00000000" w:rsidRPr="0019210E" w:rsidP="00561E79">
      <w:pPr>
        <w:pStyle w:val="BodyText"/>
      </w:pPr>
      <w:r w:rsidRPr="0019210E">
        <w:t>Release 1.  New unit.</w:t>
      </w:r>
    </w:p>
    <w:p w:rsidR="00000000" w:rsidRPr="0019210E" w:rsidP="00561E79">
      <w:pPr>
        <w:pStyle w:val="BodyText"/>
      </w:pPr>
      <w:r w:rsidRPr="0019210E">
        <w:t>This version first released with CPP Property Services Training Package Version 1.</w:t>
      </w:r>
    </w:p>
    <w:p w:rsidR="00000000" w:rsidRPr="0019210E" w:rsidP="0019210E">
      <w:pPr>
        <w:pStyle w:val="Heading1"/>
      </w:pPr>
      <w:bookmarkStart w:id="2" w:name="O_660991"/>
      <w:bookmarkEnd w:id="2"/>
      <w:r w:rsidRPr="0019210E">
        <w:t>Application</w:t>
      </w:r>
    </w:p>
    <w:p w:rsidR="00000000" w:rsidRPr="0019210E" w:rsidP="00561E79">
      <w:pPr>
        <w:pStyle w:val="BodyText"/>
      </w:pPr>
      <w:r w:rsidRPr="0019210E">
        <w:t>This unit of competency specifies the outcomes required to analyse drawings relating to building designs for residential, commercial and industrial buildings, as defined by the Building Code of Australia (BCA).</w:t>
      </w:r>
    </w:p>
    <w:p w:rsidR="00000000" w:rsidRPr="0019210E" w:rsidP="00561E79">
      <w:pPr>
        <w:pStyle w:val="BodyText"/>
      </w:pPr>
      <w:r w:rsidRPr="0019210E">
        <w:t>It covers interpreting construction industry</w:t>
      </w:r>
      <w:r w:rsidRPr="0019210E">
        <w:t xml:space="preserve"> conventions for drawings, and analysing drawings for different projects to identify design and technical features. It also covers presenting findings and discussing these with the architect or building designer to inform the design process.</w:t>
      </w:r>
    </w:p>
    <w:p w:rsidR="00000000" w:rsidRPr="0019210E" w:rsidP="00561E79">
      <w:pPr>
        <w:pStyle w:val="BodyText"/>
      </w:pPr>
      <w:r w:rsidRPr="0019210E">
        <w:t>The unit supp</w:t>
      </w:r>
      <w:r w:rsidRPr="0019210E">
        <w:t xml:space="preserve">orts the work of drafters who assist and work under the supervision and instruction of architects, building designers and other personnel, such as home sustainability assessors. </w:t>
      </w:r>
    </w:p>
    <w:p w:rsidR="00561E79" w:rsidP="00561E79">
      <w:pPr>
        <w:pStyle w:val="BodyText"/>
      </w:pPr>
      <w:r w:rsidRPr="0019210E">
        <w:t>Licensing, legislative, regulatory or certification requirements apply to bu</w:t>
      </w:r>
      <w:r w:rsidRPr="0019210E">
        <w:t>ilding design drafting in some states. Relevant state and territory regulatory authorities should be consulted to confirm those requirements.</w:t>
      </w:r>
    </w:p>
    <w:p w:rsidR="00000000" w:rsidRPr="0019210E" w:rsidP="0019210E">
      <w:pPr>
        <w:pStyle w:val="Heading1"/>
      </w:pPr>
      <w:bookmarkStart w:id="3" w:name="O_660990"/>
      <w:bookmarkEnd w:id="3"/>
      <w:r w:rsidRPr="0019210E">
        <w:t>Pre-requisite Unit</w:t>
      </w:r>
    </w:p>
    <w:p w:rsidR="00000000" w:rsidRPr="0019210E" w:rsidP="00561E79">
      <w:pPr>
        <w:pStyle w:val="BodyText"/>
      </w:pPr>
      <w:r w:rsidRPr="0019210E">
        <w:t>Nil</w:t>
      </w:r>
    </w:p>
    <w:p w:rsidR="00000000" w:rsidRPr="0019210E" w:rsidP="0019210E">
      <w:pPr>
        <w:pStyle w:val="Heading1"/>
      </w:pPr>
      <w:bookmarkStart w:id="4" w:name="O_660989"/>
      <w:bookmarkEnd w:id="4"/>
      <w:r w:rsidRPr="0019210E">
        <w:t>Competency Field</w:t>
      </w:r>
    </w:p>
    <w:p w:rsidR="00000000" w:rsidRPr="0019210E" w:rsidP="00561E79">
      <w:pPr>
        <w:pStyle w:val="BodyText"/>
      </w:pPr>
      <w:r w:rsidRPr="0019210E">
        <w:t>Drafting</w:t>
      </w:r>
    </w:p>
    <w:p w:rsidR="00000000" w:rsidRPr="0019210E" w:rsidP="0019210E">
      <w:pPr>
        <w:pStyle w:val="Heading1"/>
      </w:pPr>
      <w:bookmarkStart w:id="5" w:name="O_660988"/>
      <w:bookmarkEnd w:id="5"/>
      <w:r w:rsidRPr="0019210E">
        <w:t>Unit Sector</w:t>
      </w:r>
    </w:p>
    <w:p w:rsidR="00000000" w:rsidRPr="0019210E" w:rsidP="00561E79">
      <w:pPr>
        <w:pStyle w:val="BodyText"/>
      </w:pPr>
      <w:r w:rsidRPr="0019210E">
        <w:t>B</w:t>
      </w:r>
      <w:r w:rsidRPr="0019210E">
        <w:t>uilding design</w:t>
      </w:r>
    </w:p>
    <w:p w:rsidR="00000000" w:rsidRPr="0019210E" w:rsidP="0019210E">
      <w:pPr>
        <w:pStyle w:val="Heading1"/>
      </w:pPr>
      <w:bookmarkStart w:id="6" w:name="O_660987"/>
      <w:bookmarkEnd w:id="6"/>
      <w:r w:rsidRPr="0019210E">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19210E">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Performance criteria describe the performance needed to demonstrate achievement of the element. Where bold italicised text is used, further information is detailed in the range of conditions.</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1.</w:t>
            </w:r>
          </w:p>
        </w:tc>
        <w:tc>
          <w:tcPr>
            <w:tcW w:w="1974" w:type="dxa"/>
            <w:vMerge w:val="restart"/>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Interpret drawing conventions.</w:t>
            </w:r>
          </w:p>
        </w:tc>
        <w:tc>
          <w:tcPr>
            <w:tcW w:w="775" w:type="dxa"/>
            <w:tcBorders>
              <w:top w:val="nil"/>
              <w:left w:val="nil"/>
              <w:bottom w:val="nil"/>
              <w:right w:val="nil"/>
            </w:tcBorders>
            <w:tcMar>
              <w:top w:w="0" w:type="dxa"/>
              <w:left w:w="62" w:type="dxa"/>
              <w:bottom w:w="0" w:type="dxa"/>
              <w:right w:w="62" w:type="dxa"/>
            </w:tcMar>
          </w:tcPr>
          <w:p w:rsidR="00000000" w:rsidRPr="0019210E" w:rsidP="0019210E">
            <w:pPr>
              <w:pStyle w:val="BodyText"/>
            </w:pPr>
            <w:r w:rsidRPr="0019210E">
              <w:t>1.1.</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rPr>
                <w:rStyle w:val="BoldandItalics"/>
              </w:rPr>
              <w:t>Industry standard forma</w:t>
            </w:r>
            <w:r w:rsidRPr="0019210E">
              <w:rPr>
                <w:rStyle w:val="BoldandItalics"/>
              </w:rPr>
              <w:t>ts and content for technical</w:t>
            </w:r>
            <w:r w:rsidRPr="0019210E">
              <w:t xml:space="preserve"> </w:t>
            </w:r>
            <w:r w:rsidRPr="0019210E">
              <w:rPr>
                <w:rStyle w:val="BoldandItalics"/>
              </w:rPr>
              <w:t>drawings</w:t>
            </w:r>
            <w:r w:rsidRPr="0019210E">
              <w:t xml:space="preserve"> are interpreted. </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19210E" w:rsidP="0019210E">
            <w:pPr>
              <w:pStyle w:val="BodyText"/>
            </w:pPr>
            <w:r w:rsidRPr="0019210E">
              <w:t>1.2.</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rPr>
                <w:rStyle w:val="BoldandItalics"/>
              </w:rPr>
              <w:t>General technical drawing conventions</w:t>
            </w:r>
            <w:r w:rsidRPr="0019210E">
              <w:t xml:space="preserve"> used in all types of construction drawings are interpreted. </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19210E" w:rsidP="0019210E">
            <w:pPr>
              <w:pStyle w:val="BodyText"/>
            </w:pPr>
            <w:r w:rsidRPr="0019210E">
              <w:t>1.3.</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rPr>
                <w:rStyle w:val="BoldandItalics"/>
              </w:rPr>
              <w:t>Architectural conventions</w:t>
            </w:r>
            <w:r w:rsidRPr="0019210E">
              <w:t xml:space="preserve"> used in building design drawings are interpreted. </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1.4.</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Notations used in general technical and architectural drawings are interpreted.</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2.</w:t>
            </w:r>
          </w:p>
        </w:tc>
        <w:tc>
          <w:tcPr>
            <w:tcW w:w="1974" w:type="dxa"/>
            <w:vMerge w:val="restart"/>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Analyse architectural drawings.</w:t>
            </w:r>
          </w:p>
        </w:tc>
        <w:tc>
          <w:tcPr>
            <w:tcW w:w="775" w:type="dxa"/>
            <w:tcBorders>
              <w:top w:val="nil"/>
              <w:left w:val="nil"/>
              <w:bottom w:val="nil"/>
              <w:right w:val="nil"/>
            </w:tcBorders>
            <w:tcMar>
              <w:top w:w="0" w:type="dxa"/>
              <w:left w:w="62" w:type="dxa"/>
              <w:bottom w:w="0" w:type="dxa"/>
              <w:right w:w="62" w:type="dxa"/>
            </w:tcMar>
          </w:tcPr>
          <w:p w:rsidR="00000000" w:rsidRPr="0019210E" w:rsidP="0019210E">
            <w:pPr>
              <w:pStyle w:val="BodyText"/>
            </w:pPr>
            <w:r w:rsidRPr="0019210E">
              <w:t>2.1.</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rPr>
                <w:rStyle w:val="BoldandItalics"/>
              </w:rPr>
              <w:t>Key features of site plans</w:t>
            </w:r>
            <w:r w:rsidRPr="0019210E">
              <w:t xml:space="preserve"> for different projects are identified in drawings and analysed. </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19210E" w:rsidP="0019210E">
            <w:pPr>
              <w:pStyle w:val="BodyText"/>
            </w:pPr>
            <w:r w:rsidRPr="0019210E">
              <w:t>2.2.</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rPr>
                <w:rStyle w:val="BoldandItalics"/>
              </w:rPr>
              <w:t>Key features of floor plans and sub-floor plans</w:t>
            </w:r>
            <w:r w:rsidRPr="0019210E">
              <w:t xml:space="preserve"> are identified in drawings and analysed. </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19210E" w:rsidP="0019210E">
            <w:pPr>
              <w:pStyle w:val="BodyText"/>
            </w:pPr>
            <w:r w:rsidRPr="0019210E">
              <w:t>2.3.</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rPr>
                <w:rStyle w:val="BoldandItalics"/>
              </w:rPr>
              <w:t>Key features of elevations</w:t>
            </w:r>
            <w:r w:rsidRPr="0019210E">
              <w:t xml:space="preserve"> of each aspect of building are identified in drawings and analysed. </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2.4.</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Sections of buildings are analysed to determine constr</w:t>
            </w:r>
            <w:r w:rsidRPr="0019210E">
              <w:t>uction methods and features of internal design and finishes.</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2.5.</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 xml:space="preserve">Unknown elements of, or anomalies in, architectural drawings are noted for discussion with architect or building designer. </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3.</w:t>
            </w:r>
          </w:p>
        </w:tc>
        <w:tc>
          <w:tcPr>
            <w:tcW w:w="1974" w:type="dxa"/>
            <w:vMerge w:val="restart"/>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Analyse drawings from other construction disciplines.</w:t>
            </w:r>
          </w:p>
        </w:tc>
        <w:tc>
          <w:tcPr>
            <w:tcW w:w="775"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3.1.</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Land survey drawings are analysed to identify topographical features of site for building design projects and requirements for cutting and filling.</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3.2.</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Structural engineering drawings are analysed to determine construction methods and load consideratio</w:t>
            </w:r>
            <w:r w:rsidRPr="0019210E">
              <w:t>ns for building design project.</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3.3.</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Drawings and reports from electrical, hydraulic, fire and mechanical engineers are analysed to determine layout of services for building design project.</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3.4.</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 xml:space="preserve">Drawings and drawing notations from </w:t>
            </w:r>
            <w:r w:rsidRPr="0019210E">
              <w:rPr>
                <w:rStyle w:val="BoldandItalics"/>
              </w:rPr>
              <w:t>consultants</w:t>
            </w:r>
            <w:r w:rsidRPr="0019210E">
              <w:t xml:space="preserve"> are analysed to identify recommendations for building </w:t>
            </w:r>
            <w:r w:rsidRPr="0019210E">
              <w:t xml:space="preserve">design project. </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3.5.</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 xml:space="preserve">Unknown elements of, or anomalies in, drawings from other disciplines are noted for discussion with architect or building designer. </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4.</w:t>
            </w:r>
          </w:p>
        </w:tc>
        <w:tc>
          <w:tcPr>
            <w:tcW w:w="1974" w:type="dxa"/>
            <w:vMerge w:val="restart"/>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Present and discuss findings.</w:t>
            </w:r>
          </w:p>
        </w:tc>
        <w:tc>
          <w:tcPr>
            <w:tcW w:w="775"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4.1.</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Advi</w:t>
            </w:r>
            <w:r w:rsidRPr="0019210E">
              <w:t xml:space="preserve">ce is sought where required from architect or building designer to assist in identifying and analysing unknown elements of drawings. </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4.2.</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Findings from analysis of architectural drawings are presented to, and discussed with, architect or building designer to inform building design process.</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4.3.</w:t>
            </w:r>
          </w:p>
        </w:tc>
        <w:tc>
          <w:tcPr>
            <w:tcW w:w="5641"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Findings from analysis of drawings from other construction disciplines are presented to, and di</w:t>
            </w:r>
            <w:r w:rsidRPr="0019210E">
              <w:t>scussed with, architect or building designer to inform building design process.</w:t>
            </w:r>
          </w:p>
        </w:tc>
      </w:tr>
      <w:tr w:rsidTr="0019210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4.4.</w:t>
            </w:r>
          </w:p>
        </w:tc>
        <w:tc>
          <w:tcPr>
            <w:tcW w:w="5641" w:type="dxa"/>
            <w:tcBorders>
              <w:top w:val="nil"/>
              <w:left w:val="nil"/>
              <w:bottom w:val="nil"/>
              <w:right w:val="nil"/>
            </w:tcBorders>
            <w:tcMar>
              <w:top w:w="0" w:type="dxa"/>
              <w:left w:w="62" w:type="dxa"/>
              <w:bottom w:w="0" w:type="dxa"/>
              <w:right w:w="62" w:type="dxa"/>
            </w:tcMar>
          </w:tcPr>
          <w:p w:rsidR="00000000" w:rsidRPr="0019210E" w:rsidP="0019210E">
            <w:pPr>
              <w:pStyle w:val="BodyText"/>
            </w:pPr>
            <w:r w:rsidRPr="0019210E">
              <w:t>Strategies for producing corrections to drawings are developed in consultation with architect or building designer and followed up as required.</w:t>
            </w:r>
          </w:p>
        </w:tc>
      </w:tr>
    </w:tbl>
    <w:p w:rsidR="00000000" w:rsidRPr="0019210E" w:rsidP="0019210E">
      <w:pPr>
        <w:pStyle w:val="BodyText"/>
      </w:pPr>
    </w:p>
    <w:p w:rsidR="00000000" w:rsidRPr="0019210E" w:rsidP="0019210E">
      <w:pPr>
        <w:pStyle w:val="AllowPageBreak"/>
      </w:pPr>
    </w:p>
    <w:p w:rsidR="00000000" w:rsidRPr="0019210E" w:rsidP="0019210E">
      <w:pPr>
        <w:pStyle w:val="Heading1"/>
      </w:pPr>
      <w:bookmarkStart w:id="7" w:name="O_660986"/>
      <w:bookmarkEnd w:id="7"/>
      <w:r w:rsidRPr="0019210E">
        <w:t>Foundation Skills</w:t>
      </w:r>
    </w:p>
    <w:tbl>
      <w:tblPr>
        <w:tblW w:w="0" w:type="auto"/>
        <w:tblCellMar>
          <w:left w:w="62" w:type="dxa"/>
          <w:right w:w="62" w:type="dxa"/>
        </w:tblCellMar>
        <w:tblLook w:val="0000"/>
      </w:tblPr>
      <w:tblGrid>
        <w:gridCol w:w="2163"/>
        <w:gridCol w:w="7033"/>
      </w:tblGrid>
      <w:tr w:rsidTr="00561E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This section describes core skills that are essential to performance and not explicit in the performance criteria. Employment skills essential to performance are explicit in the performance criteria of this unit of competency.</w:t>
            </w:r>
          </w:p>
        </w:tc>
      </w:tr>
      <w:tr w:rsidTr="00561E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9210E" w:rsidP="0019210E">
            <w:pPr>
              <w:pStyle w:val="BodyText"/>
            </w:pPr>
            <w:r w:rsidRPr="0019210E">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rPr>
                <w:rStyle w:val="SpecialBold"/>
              </w:rPr>
              <w:t>Per</w:t>
            </w:r>
            <w:r w:rsidRPr="0019210E">
              <w:rPr>
                <w:rStyle w:val="SpecialBold"/>
              </w:rPr>
              <w:t>formance feature</w:t>
            </w:r>
          </w:p>
        </w:tc>
      </w:tr>
      <w:tr w:rsidTr="00561E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Learning skills to:</w:t>
            </w:r>
          </w:p>
        </w:tc>
        <w:tc>
          <w:tcPr>
            <w:tcW w:w="0" w:type="auto"/>
            <w:tcBorders>
              <w:top w:val="nil"/>
              <w:left w:val="nil"/>
              <w:bottom w:val="nil"/>
              <w:right w:val="nil"/>
            </w:tcBorders>
            <w:tcMar>
              <w:top w:w="0" w:type="dxa"/>
              <w:left w:w="62" w:type="dxa"/>
              <w:bottom w:w="0" w:type="dxa"/>
              <w:right w:w="62" w:type="dxa"/>
            </w:tcMar>
          </w:tcPr>
          <w:p w:rsidR="00000000" w:rsidRPr="0019210E" w:rsidP="0019210E">
            <w:pPr>
              <w:pStyle w:val="ListBullet"/>
            </w:pPr>
            <w:r w:rsidRPr="0019210E">
              <w:t>access Australian standards to assist in developing understanding of different types of drawings and drawing standards and conventions</w:t>
            </w:r>
          </w:p>
          <w:p w:rsidR="00000000" w:rsidP="0019210E">
            <w:pPr>
              <w:pStyle w:val="ListBullet"/>
              <w:rPr>
                <w:lang w:val="en-NZ"/>
              </w:rPr>
            </w:pPr>
            <w:r w:rsidRPr="0019210E">
              <w:t>draw on experience in drawing analysis and apply to new work.</w:t>
            </w:r>
          </w:p>
        </w:tc>
      </w:tr>
      <w:tr w:rsidTr="00561E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Numeracy skills to:</w:t>
            </w:r>
          </w:p>
        </w:tc>
        <w:tc>
          <w:tcPr>
            <w:tcW w:w="0" w:type="auto"/>
            <w:tcBorders>
              <w:top w:val="nil"/>
              <w:left w:val="nil"/>
              <w:bottom w:val="nil"/>
              <w:right w:val="nil"/>
            </w:tcBorders>
            <w:tcMar>
              <w:top w:w="0" w:type="dxa"/>
              <w:left w:w="62" w:type="dxa"/>
              <w:bottom w:w="0" w:type="dxa"/>
              <w:right w:w="62" w:type="dxa"/>
            </w:tcMar>
          </w:tcPr>
          <w:p w:rsidR="00000000" w:rsidRPr="0019210E" w:rsidP="0019210E">
            <w:pPr>
              <w:pStyle w:val="ListBullet"/>
            </w:pPr>
            <w:r w:rsidRPr="0019210E">
              <w:t>interpret and check the accuracy of numerical information in technical drawings and reports, including dimensions, ratios, scales and scale conversions</w:t>
            </w:r>
          </w:p>
          <w:p w:rsidR="00000000" w:rsidP="0019210E">
            <w:pPr>
              <w:pStyle w:val="ListBullet"/>
              <w:rPr>
                <w:lang w:val="en-NZ"/>
              </w:rPr>
            </w:pPr>
            <w:r w:rsidRPr="0019210E">
              <w:t>use mathematical language to discuss with colleagues findings from analysis of drawings, such as anoma</w:t>
            </w:r>
            <w:r w:rsidRPr="0019210E">
              <w:t>lies in dimensions or inaccuracies in scale conversions.</w:t>
            </w:r>
          </w:p>
        </w:tc>
      </w:tr>
      <w:tr w:rsidTr="00561E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Oral communication skills to:</w:t>
            </w:r>
          </w:p>
        </w:tc>
        <w:tc>
          <w:tcPr>
            <w:tcW w:w="0" w:type="auto"/>
            <w:tcBorders>
              <w:top w:val="nil"/>
              <w:left w:val="nil"/>
              <w:bottom w:val="nil"/>
              <w:right w:val="nil"/>
            </w:tcBorders>
            <w:tcMar>
              <w:top w:w="0" w:type="dxa"/>
              <w:left w:w="62" w:type="dxa"/>
              <w:bottom w:w="0" w:type="dxa"/>
              <w:right w:w="62" w:type="dxa"/>
            </w:tcMar>
          </w:tcPr>
          <w:p w:rsidR="00000000" w:rsidP="0019210E">
            <w:pPr>
              <w:pStyle w:val="ListBullet"/>
              <w:rPr>
                <w:lang w:val="en-NZ"/>
              </w:rPr>
            </w:pPr>
            <w:r w:rsidRPr="0019210E">
              <w:t>participate in discussions in the workplace and with external specialists using specialised vocabulary relating to building designs, including the names used for diffe</w:t>
            </w:r>
            <w:r w:rsidRPr="0019210E">
              <w:t xml:space="preserve">rent types of drawings and the names for different building elements and fixtures. </w:t>
            </w:r>
          </w:p>
        </w:tc>
      </w:tr>
      <w:tr w:rsidTr="00561E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Reading skills to:</w:t>
            </w:r>
          </w:p>
        </w:tc>
        <w:tc>
          <w:tcPr>
            <w:tcW w:w="0" w:type="auto"/>
            <w:tcBorders>
              <w:top w:val="nil"/>
              <w:left w:val="nil"/>
              <w:bottom w:val="nil"/>
              <w:right w:val="nil"/>
            </w:tcBorders>
            <w:tcMar>
              <w:top w:w="0" w:type="dxa"/>
              <w:left w:w="62" w:type="dxa"/>
              <w:bottom w:w="0" w:type="dxa"/>
              <w:right w:w="62" w:type="dxa"/>
            </w:tcMar>
          </w:tcPr>
          <w:p w:rsidR="00000000" w:rsidRPr="0019210E" w:rsidP="0019210E">
            <w:pPr>
              <w:pStyle w:val="ListBullet"/>
            </w:pPr>
            <w:r w:rsidRPr="0019210E">
              <w:t>understand specialised vocabulary, abbreviations and acronyms specific to building design work, including terms used by external consultants</w:t>
            </w:r>
          </w:p>
          <w:p w:rsidR="00000000" w:rsidP="0019210E">
            <w:pPr>
              <w:pStyle w:val="ListBullet"/>
              <w:rPr>
                <w:lang w:val="en-NZ"/>
              </w:rPr>
            </w:pPr>
            <w:r w:rsidRPr="0019210E">
              <w:t>use differ</w:t>
            </w:r>
            <w:r w:rsidRPr="0019210E">
              <w:t>ent reading strategies to locate specific and sometimes complex details in drawings and reports.</w:t>
            </w:r>
          </w:p>
        </w:tc>
      </w:tr>
      <w:tr w:rsidTr="00561E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Writing skills to:</w:t>
            </w:r>
          </w:p>
        </w:tc>
        <w:tc>
          <w:tcPr>
            <w:tcW w:w="0" w:type="auto"/>
            <w:tcBorders>
              <w:top w:val="nil"/>
              <w:left w:val="nil"/>
              <w:bottom w:val="nil"/>
              <w:right w:val="nil"/>
            </w:tcBorders>
            <w:tcMar>
              <w:top w:w="0" w:type="dxa"/>
              <w:left w:w="62" w:type="dxa"/>
              <w:bottom w:w="0" w:type="dxa"/>
              <w:right w:w="62" w:type="dxa"/>
            </w:tcMar>
          </w:tcPr>
          <w:p w:rsidR="00000000" w:rsidRPr="0019210E" w:rsidP="0019210E">
            <w:pPr>
              <w:pStyle w:val="ListBullet"/>
            </w:pPr>
            <w:r w:rsidRPr="0019210E">
              <w:t>make concise and technically accurate personal notes on findings from analysis of drawings and reports and discussions with designer.</w:t>
            </w:r>
          </w:p>
        </w:tc>
      </w:tr>
    </w:tbl>
    <w:p w:rsidR="00000000" w:rsidRPr="0019210E" w:rsidP="0019210E">
      <w:pPr>
        <w:pStyle w:val="BodyText"/>
      </w:pPr>
    </w:p>
    <w:p w:rsidR="00000000" w:rsidRPr="0019210E" w:rsidP="0019210E">
      <w:pPr>
        <w:pStyle w:val="AllowPageBreak"/>
      </w:pPr>
    </w:p>
    <w:p w:rsidR="00000000" w:rsidRPr="0019210E" w:rsidP="0019210E">
      <w:pPr>
        <w:pStyle w:val="Heading1"/>
      </w:pPr>
      <w:bookmarkStart w:id="8" w:name="O_660985"/>
      <w:bookmarkEnd w:id="8"/>
      <w:r w:rsidRPr="0019210E">
        <w:t>Range of Conditions</w:t>
      </w:r>
    </w:p>
    <w:tbl>
      <w:tblPr>
        <w:tblW w:w="0" w:type="auto"/>
        <w:tblLayout w:type="fixed"/>
        <w:tblCellMar>
          <w:left w:w="62" w:type="dxa"/>
          <w:right w:w="62" w:type="dxa"/>
        </w:tblCellMar>
        <w:tblLook w:val="0000"/>
      </w:tblPr>
      <w:tblGrid>
        <w:gridCol w:w="2129"/>
        <w:gridCol w:w="6943"/>
      </w:tblGrid>
      <w:tr w:rsidTr="001921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t>This section specifies work environments and conditions that may affect performance. Essential operating conditions that may be present (depending on the work situation, needs of the candidate, accessibility of the item,</w:t>
            </w:r>
            <w:r w:rsidRPr="0019210E">
              <w:t xml:space="preserve"> and local industry and regional contexts) are included. Bold italicised wording, if used in the performance criteria, is detailed below.</w:t>
            </w:r>
          </w:p>
        </w:tc>
      </w:tr>
      <w:tr w:rsidTr="0019210E">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rPr>
                <w:rStyle w:val="BoldandItalics"/>
              </w:rPr>
              <w:t>Industry standard formats and content for technical drawings</w:t>
            </w:r>
            <w:r w:rsidRPr="0019210E">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19210E" w:rsidP="0019210E">
            <w:pPr>
              <w:pStyle w:val="ListBullet"/>
            </w:pPr>
            <w:r w:rsidRPr="0019210E">
              <w:t>drawing types</w:t>
            </w:r>
          </w:p>
          <w:p w:rsidR="00000000" w:rsidRPr="0019210E" w:rsidP="0019210E">
            <w:pPr>
              <w:pStyle w:val="ListBullet"/>
            </w:pPr>
            <w:r w:rsidRPr="0019210E">
              <w:t>project identification</w:t>
            </w:r>
          </w:p>
          <w:p w:rsidR="00000000" w:rsidP="0019210E">
            <w:pPr>
              <w:pStyle w:val="ListBullet"/>
              <w:rPr>
                <w:lang w:val="en-NZ"/>
              </w:rPr>
            </w:pPr>
            <w:r w:rsidRPr="0019210E">
              <w:t>version control.</w:t>
            </w:r>
          </w:p>
        </w:tc>
      </w:tr>
      <w:tr w:rsidTr="0019210E">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rPr>
                <w:rStyle w:val="BoldandItalics"/>
              </w:rPr>
              <w:t>General technical drawing conventions</w:t>
            </w:r>
            <w:r w:rsidRPr="0019210E">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19210E" w:rsidP="0019210E">
            <w:pPr>
              <w:pStyle w:val="ListBullet"/>
            </w:pPr>
            <w:r w:rsidRPr="0019210E">
              <w:t xml:space="preserve">those specified in: </w:t>
            </w:r>
          </w:p>
          <w:p w:rsidR="00000000" w:rsidRPr="0019210E" w:rsidP="0019210E">
            <w:pPr>
              <w:pStyle w:val="ListBullet2"/>
            </w:pPr>
            <w:r w:rsidRPr="0019210E">
              <w:t>AS1100.101 Technical drawing - General principles</w:t>
            </w:r>
          </w:p>
          <w:p w:rsidR="00000000" w:rsidRPr="0019210E" w:rsidP="0019210E">
            <w:pPr>
              <w:pStyle w:val="ListBullet2"/>
            </w:pPr>
            <w:r w:rsidRPr="0019210E">
              <w:t>AS1100.301 Technical drawing - Architectural drawing</w:t>
            </w:r>
          </w:p>
          <w:p w:rsidR="00000000" w:rsidRPr="0019210E" w:rsidP="0019210E">
            <w:pPr>
              <w:pStyle w:val="ListBullet2"/>
            </w:pPr>
            <w:r w:rsidRPr="0019210E">
              <w:t>AS1101.1 Graphic symbols for general engineering - Hydraulic and pneumatic systems</w:t>
            </w:r>
          </w:p>
          <w:p w:rsidR="00000000" w:rsidRPr="0019210E" w:rsidP="0019210E">
            <w:pPr>
              <w:pStyle w:val="ListBullet"/>
            </w:pPr>
            <w:r w:rsidRPr="0019210E">
              <w:t>abbreviations</w:t>
            </w:r>
          </w:p>
          <w:p w:rsidR="00000000" w:rsidRPr="0019210E" w:rsidP="0019210E">
            <w:pPr>
              <w:pStyle w:val="ListBullet"/>
            </w:pPr>
            <w:r w:rsidRPr="0019210E">
              <w:t>components</w:t>
            </w:r>
          </w:p>
          <w:p w:rsidR="00000000" w:rsidRPr="0019210E" w:rsidP="0019210E">
            <w:pPr>
              <w:pStyle w:val="ListBullet"/>
            </w:pPr>
            <w:r w:rsidRPr="0019210E">
              <w:t>dimensioning lines</w:t>
            </w:r>
          </w:p>
          <w:p w:rsidR="00000000" w:rsidRPr="0019210E" w:rsidP="0019210E">
            <w:pPr>
              <w:pStyle w:val="ListBullet"/>
            </w:pPr>
            <w:r w:rsidRPr="0019210E">
              <w:t>gradients</w:t>
            </w:r>
          </w:p>
          <w:p w:rsidR="00000000" w:rsidRPr="0019210E" w:rsidP="0019210E">
            <w:pPr>
              <w:pStyle w:val="ListBullet"/>
            </w:pPr>
            <w:r w:rsidRPr="0019210E">
              <w:t>layout</w:t>
            </w:r>
          </w:p>
          <w:p w:rsidR="00000000" w:rsidRPr="0019210E" w:rsidP="0019210E">
            <w:pPr>
              <w:pStyle w:val="ListBullet"/>
            </w:pPr>
            <w:r w:rsidRPr="0019210E">
              <w:t>levels</w:t>
            </w:r>
          </w:p>
          <w:p w:rsidR="00000000" w:rsidRPr="0019210E" w:rsidP="0019210E">
            <w:pPr>
              <w:pStyle w:val="ListBullet"/>
            </w:pPr>
            <w:r w:rsidRPr="0019210E">
              <w:t>scales</w:t>
            </w:r>
          </w:p>
          <w:p w:rsidR="00000000" w:rsidRPr="0019210E" w:rsidP="0019210E">
            <w:pPr>
              <w:pStyle w:val="ListBullet"/>
            </w:pPr>
            <w:r w:rsidRPr="0019210E">
              <w:t>spaces</w:t>
            </w:r>
          </w:p>
          <w:p w:rsidR="00000000" w:rsidP="0019210E">
            <w:pPr>
              <w:pStyle w:val="ListBullet"/>
              <w:rPr>
                <w:lang w:val="en-NZ"/>
              </w:rPr>
            </w:pPr>
            <w:r w:rsidRPr="0019210E">
              <w:t>symbols.</w:t>
            </w:r>
          </w:p>
        </w:tc>
      </w:tr>
      <w:tr w:rsidTr="0019210E">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rPr>
                <w:rStyle w:val="BoldandItalics"/>
              </w:rPr>
              <w:t>Architectural conventions</w:t>
            </w:r>
            <w:r w:rsidRPr="0019210E">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19210E" w:rsidP="0019210E">
            <w:pPr>
              <w:pStyle w:val="ListBullet"/>
            </w:pPr>
            <w:r w:rsidRPr="0019210E">
              <w:t>dimensioning</w:t>
            </w:r>
          </w:p>
          <w:p w:rsidR="00000000" w:rsidRPr="0019210E" w:rsidP="0019210E">
            <w:pPr>
              <w:pStyle w:val="ListBullet"/>
            </w:pPr>
            <w:r w:rsidRPr="0019210E">
              <w:t>orientation</w:t>
            </w:r>
          </w:p>
          <w:p w:rsidR="00000000" w:rsidRPr="0019210E" w:rsidP="0019210E">
            <w:pPr>
              <w:pStyle w:val="ListBullet"/>
            </w:pPr>
            <w:r w:rsidRPr="0019210E">
              <w:t>representations of:</w:t>
            </w:r>
          </w:p>
          <w:p w:rsidR="00000000" w:rsidRPr="0019210E" w:rsidP="0019210E">
            <w:pPr>
              <w:pStyle w:val="ListBullet2"/>
            </w:pPr>
            <w:r w:rsidRPr="0019210E">
              <w:t>doors</w:t>
            </w:r>
          </w:p>
          <w:p w:rsidR="00000000" w:rsidRPr="0019210E" w:rsidP="0019210E">
            <w:pPr>
              <w:pStyle w:val="ListBullet2"/>
            </w:pPr>
            <w:r w:rsidRPr="0019210E">
              <w:t>fittings</w:t>
            </w:r>
          </w:p>
          <w:p w:rsidR="00000000" w:rsidRPr="0019210E" w:rsidP="0019210E">
            <w:pPr>
              <w:pStyle w:val="ListBullet2"/>
            </w:pPr>
            <w:r w:rsidRPr="0019210E">
              <w:t>fixtures</w:t>
            </w:r>
          </w:p>
          <w:p w:rsidR="00000000" w:rsidRPr="0019210E" w:rsidP="0019210E">
            <w:pPr>
              <w:pStyle w:val="ListBullet2"/>
            </w:pPr>
            <w:r w:rsidRPr="0019210E">
              <w:t>materials</w:t>
            </w:r>
          </w:p>
          <w:p w:rsidR="00000000" w:rsidRPr="0019210E" w:rsidP="0019210E">
            <w:pPr>
              <w:pStyle w:val="ListBullet2"/>
            </w:pPr>
            <w:r w:rsidRPr="0019210E">
              <w:t>natural light</w:t>
            </w:r>
          </w:p>
          <w:p w:rsidR="00000000" w:rsidRPr="0019210E" w:rsidP="0019210E">
            <w:pPr>
              <w:pStyle w:val="ListBullet2"/>
            </w:pPr>
            <w:r w:rsidRPr="0019210E">
              <w:t>shadow</w:t>
            </w:r>
          </w:p>
          <w:p w:rsidR="00000000" w:rsidP="0019210E">
            <w:pPr>
              <w:pStyle w:val="ListBullet2"/>
              <w:rPr>
                <w:lang w:val="en-NZ"/>
              </w:rPr>
            </w:pPr>
            <w:r w:rsidRPr="0019210E">
              <w:t>windows.</w:t>
            </w:r>
          </w:p>
        </w:tc>
      </w:tr>
      <w:tr w:rsidTr="0019210E">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rPr>
                <w:rStyle w:val="BoldandItalics"/>
              </w:rPr>
              <w:t>Key features of site plans</w:t>
            </w:r>
            <w:r w:rsidRPr="0019210E">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19210E" w:rsidP="0019210E">
            <w:pPr>
              <w:pStyle w:val="ListBullet"/>
            </w:pPr>
            <w:r w:rsidRPr="0019210E">
              <w:t>site boundaries and dimensions</w:t>
            </w:r>
          </w:p>
          <w:p w:rsidR="00000000" w:rsidRPr="0019210E" w:rsidP="0019210E">
            <w:pPr>
              <w:pStyle w:val="ListBullet"/>
            </w:pPr>
            <w:r w:rsidRPr="0019210E">
              <w:t>locations and orientations of buildings</w:t>
            </w:r>
          </w:p>
          <w:p w:rsidR="00000000" w:rsidRPr="0019210E" w:rsidP="0019210E">
            <w:pPr>
              <w:pStyle w:val="ListBullet"/>
            </w:pPr>
            <w:r w:rsidRPr="0019210E">
              <w:t>locations of:</w:t>
            </w:r>
          </w:p>
          <w:p w:rsidR="00000000" w:rsidRPr="0019210E" w:rsidP="0019210E">
            <w:pPr>
              <w:pStyle w:val="ListBullet2"/>
            </w:pPr>
            <w:r w:rsidRPr="0019210E">
              <w:t>utility services</w:t>
            </w:r>
          </w:p>
          <w:p w:rsidR="00000000" w:rsidRPr="0019210E" w:rsidP="0019210E">
            <w:pPr>
              <w:pStyle w:val="ListBullet2"/>
            </w:pPr>
            <w:r w:rsidRPr="0019210E">
              <w:t>retaining walls</w:t>
            </w:r>
          </w:p>
          <w:p w:rsidR="00000000" w:rsidRPr="0019210E" w:rsidP="0019210E">
            <w:pPr>
              <w:pStyle w:val="ListBullet2"/>
            </w:pPr>
            <w:r w:rsidRPr="0019210E">
              <w:t>fences</w:t>
            </w:r>
          </w:p>
          <w:p w:rsidR="00000000" w:rsidRPr="0019210E" w:rsidP="0019210E">
            <w:pPr>
              <w:pStyle w:val="ListBullet2"/>
            </w:pPr>
            <w:r w:rsidRPr="0019210E">
              <w:t>driveways</w:t>
            </w:r>
          </w:p>
          <w:p w:rsidR="00000000" w:rsidRPr="0019210E" w:rsidP="0019210E">
            <w:pPr>
              <w:pStyle w:val="ListBullet2"/>
            </w:pPr>
            <w:r w:rsidRPr="0019210E">
              <w:t xml:space="preserve">walkways </w:t>
            </w:r>
          </w:p>
          <w:p w:rsidR="00000000" w:rsidRPr="0019210E" w:rsidP="0019210E">
            <w:pPr>
              <w:pStyle w:val="ListBullet"/>
            </w:pPr>
            <w:r w:rsidRPr="0019210E">
              <w:t>setback requirements</w:t>
            </w:r>
          </w:p>
          <w:p w:rsidR="00000000" w:rsidRPr="0019210E" w:rsidP="0019210E">
            <w:pPr>
              <w:pStyle w:val="ListBullet"/>
            </w:pPr>
            <w:r w:rsidRPr="0019210E">
              <w:t>easements</w:t>
            </w:r>
          </w:p>
          <w:p w:rsidR="00000000" w:rsidP="0019210E">
            <w:pPr>
              <w:pStyle w:val="ListBullet"/>
              <w:rPr>
                <w:lang w:val="en-NZ"/>
              </w:rPr>
            </w:pPr>
            <w:r w:rsidRPr="0019210E">
              <w:t>topographical data.</w:t>
            </w:r>
          </w:p>
        </w:tc>
      </w:tr>
      <w:tr w:rsidTr="0019210E">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rPr>
                <w:rStyle w:val="BoldandItalics"/>
              </w:rPr>
              <w:t>Key features of floor and sub-floor plans</w:t>
            </w:r>
            <w:r w:rsidRPr="0019210E">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19210E" w:rsidP="0019210E">
            <w:pPr>
              <w:pStyle w:val="ListBullet"/>
            </w:pPr>
            <w:r w:rsidRPr="0019210E">
              <w:t>access</w:t>
            </w:r>
          </w:p>
          <w:p w:rsidR="00000000" w:rsidRPr="0019210E" w:rsidP="0019210E">
            <w:pPr>
              <w:pStyle w:val="ListBullet"/>
            </w:pPr>
            <w:r w:rsidRPr="0019210E">
              <w:t>construction methods</w:t>
            </w:r>
          </w:p>
          <w:p w:rsidR="00000000" w:rsidRPr="0019210E" w:rsidP="0019210E">
            <w:pPr>
              <w:pStyle w:val="ListBullet"/>
            </w:pPr>
            <w:r w:rsidRPr="0019210E">
              <w:t>dimensions</w:t>
            </w:r>
          </w:p>
          <w:p w:rsidR="00000000" w:rsidRPr="0019210E" w:rsidP="0019210E">
            <w:pPr>
              <w:pStyle w:val="ListBullet"/>
            </w:pPr>
            <w:r w:rsidRPr="0019210E">
              <w:t>locations of services</w:t>
            </w:r>
          </w:p>
          <w:p w:rsidR="00000000" w:rsidRPr="0019210E" w:rsidP="0019210E">
            <w:pPr>
              <w:pStyle w:val="ListBullet"/>
            </w:pPr>
            <w:r w:rsidRPr="0019210E">
              <w:t>plan-level fittings, fixtures and features, including representations of overhead features</w:t>
            </w:r>
          </w:p>
          <w:p w:rsidR="00000000" w:rsidP="0019210E">
            <w:pPr>
              <w:pStyle w:val="ListBullet"/>
              <w:rPr>
                <w:lang w:val="en-NZ"/>
              </w:rPr>
            </w:pPr>
            <w:r w:rsidRPr="0019210E">
              <w:t>room and wall layouts.</w:t>
            </w:r>
          </w:p>
        </w:tc>
      </w:tr>
      <w:tr w:rsidTr="0019210E">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rPr>
                <w:rStyle w:val="BoldandItalics"/>
              </w:rPr>
              <w:t>Key features of elevations</w:t>
            </w:r>
            <w:r w:rsidRPr="0019210E">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19210E" w:rsidP="0019210E">
            <w:pPr>
              <w:pStyle w:val="ListBullet"/>
            </w:pPr>
            <w:r w:rsidRPr="0019210E">
              <w:t>dimensions of buildings</w:t>
            </w:r>
          </w:p>
          <w:p w:rsidR="00000000" w:rsidRPr="0019210E" w:rsidP="0019210E">
            <w:pPr>
              <w:pStyle w:val="ListBullet"/>
            </w:pPr>
            <w:r w:rsidRPr="0019210E">
              <w:t>exterior finishes</w:t>
            </w:r>
          </w:p>
          <w:p w:rsidR="00000000" w:rsidRPr="0019210E" w:rsidP="0019210E">
            <w:pPr>
              <w:pStyle w:val="ListBullet"/>
            </w:pPr>
            <w:r w:rsidRPr="0019210E">
              <w:t>fence locations</w:t>
            </w:r>
          </w:p>
          <w:p w:rsidR="00000000" w:rsidP="0019210E">
            <w:pPr>
              <w:pStyle w:val="ListBullet"/>
              <w:rPr>
                <w:lang w:val="en-NZ"/>
              </w:rPr>
            </w:pPr>
            <w:r w:rsidRPr="0019210E">
              <w:t>features of exterior design.</w:t>
            </w:r>
          </w:p>
        </w:tc>
      </w:tr>
      <w:tr w:rsidTr="0019210E">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19210E">
            <w:pPr>
              <w:pStyle w:val="BodyText"/>
              <w:rPr>
                <w:lang w:val="en-NZ"/>
              </w:rPr>
            </w:pPr>
            <w:r w:rsidRPr="0019210E">
              <w:rPr>
                <w:rStyle w:val="BoldandItalics"/>
              </w:rPr>
              <w:t>Consultants</w:t>
            </w:r>
            <w:r w:rsidRPr="0019210E">
              <w:t xml:space="preserve"> must include one or more of those contributing to the design drawings:</w:t>
            </w:r>
          </w:p>
        </w:tc>
        <w:tc>
          <w:tcPr>
            <w:tcW w:w="6943" w:type="dxa"/>
            <w:tcBorders>
              <w:top w:val="nil"/>
              <w:left w:val="nil"/>
              <w:bottom w:val="nil"/>
              <w:right w:val="nil"/>
            </w:tcBorders>
            <w:tcMar>
              <w:top w:w="0" w:type="dxa"/>
              <w:left w:w="62" w:type="dxa"/>
              <w:bottom w:w="0" w:type="dxa"/>
              <w:right w:w="62" w:type="dxa"/>
            </w:tcMar>
          </w:tcPr>
          <w:p w:rsidR="00000000" w:rsidRPr="0019210E" w:rsidP="0019210E">
            <w:pPr>
              <w:pStyle w:val="ListBullet"/>
            </w:pPr>
            <w:r w:rsidRPr="0019210E">
              <w:t>land surveyors</w:t>
            </w:r>
          </w:p>
          <w:p w:rsidR="00000000" w:rsidRPr="0019210E" w:rsidP="0019210E">
            <w:pPr>
              <w:pStyle w:val="ListBullet"/>
            </w:pPr>
            <w:r w:rsidRPr="0019210E">
              <w:t xml:space="preserve">structural, electrical, hydraulic, fire and mechanical engineers </w:t>
            </w:r>
          </w:p>
          <w:p w:rsidR="00000000" w:rsidRPr="0019210E" w:rsidP="0019210E">
            <w:pPr>
              <w:pStyle w:val="ListBullet"/>
            </w:pPr>
            <w:r w:rsidRPr="0019210E">
              <w:t>access, acoustic, arborist, energy efficiency, lighting, traffic and other relevant consultants requir</w:t>
            </w:r>
            <w:r w:rsidRPr="0019210E">
              <w:t>ed to contribute to building design projects.</w:t>
            </w:r>
          </w:p>
        </w:tc>
      </w:tr>
    </w:tbl>
    <w:p w:rsidR="00000000" w:rsidRPr="0019210E" w:rsidP="0019210E">
      <w:pPr>
        <w:pStyle w:val="BodyText"/>
      </w:pPr>
    </w:p>
    <w:p w:rsidR="00000000" w:rsidRPr="0019210E" w:rsidP="0019210E">
      <w:pPr>
        <w:pStyle w:val="AllowPageBreak"/>
      </w:pPr>
    </w:p>
    <w:p w:rsidR="00000000" w:rsidRPr="0019210E" w:rsidP="0019210E">
      <w:pPr>
        <w:pStyle w:val="Heading1"/>
      </w:pPr>
      <w:bookmarkStart w:id="9" w:name="O_660984"/>
      <w:bookmarkEnd w:id="9"/>
      <w:r w:rsidRPr="0019210E">
        <w:t>Unit Mapping Information</w:t>
      </w:r>
    </w:p>
    <w:p w:rsidR="00000000" w:rsidRPr="0019210E" w:rsidP="00561E79">
      <w:pPr>
        <w:pStyle w:val="BodyText"/>
      </w:pPr>
      <w:r w:rsidRPr="0019210E">
        <w:t>No equivalent unit.</w:t>
      </w:r>
    </w:p>
    <w:p w:rsidR="00000000" w:rsidRPr="0019210E" w:rsidP="0019210E">
      <w:pPr>
        <w:pStyle w:val="Heading1"/>
      </w:pPr>
      <w:bookmarkStart w:id="10" w:name="O_660977"/>
      <w:bookmarkEnd w:id="10"/>
      <w:r w:rsidRPr="0019210E">
        <w:t>Links</w:t>
      </w:r>
    </w:p>
    <w:p w:rsidR="00000000" w:rsidRPr="0019210E" w:rsidP="00561E79">
      <w:pPr>
        <w:pStyle w:val="BodyText"/>
      </w:pPr>
      <w:r w:rsidRPr="0019210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F1118">
        <w:rPr>
          <w:rStyle w:val="Hyperlink"/>
        </w:rPr>
        <w:t>https://vetnet.gov.au/Pages/TrainingDocs.aspx?q=6f3f9672-30e8-4835-b348-205dfcf13d9b</w:t>
      </w:r>
      <w:r>
        <w:fldChar w:fldCharType="end"/>
      </w:r>
    </w:p>
    <w:p w:rsidR="00000000" w:rsidRPr="0019210E" w:rsidP="00561E79">
      <w:pPr>
        <w:pStyle w:val="BodyText"/>
        <w:sectPr w:rsidSect="0019210E">
          <w:headerReference w:type="default" r:id="rId10"/>
          <w:footerReference w:type="default" r:id="rId11"/>
          <w:pgSz w:w="11908" w:h="16833"/>
          <w:pgMar w:top="1702" w:right="1418" w:bottom="1702" w:left="1418" w:header="992" w:footer="992" w:gutter="0"/>
          <w:cols w:space="720"/>
          <w:noEndnote/>
          <w:docGrid w:linePitch="299"/>
        </w:sectPr>
      </w:pPr>
    </w:p>
    <w:p w:rsidR="00000000" w:rsidRPr="0019210E" w:rsidP="0019210E">
      <w:pPr>
        <w:pStyle w:val="SuperHeading"/>
      </w:pPr>
      <w:r w:rsidRPr="0019210E">
        <w:t>Assessment Requirements for CPPBDN4009 Analyse building design drawings and review findings</w:t>
      </w:r>
    </w:p>
    <w:p w:rsidR="00000000" w:rsidRPr="0019210E" w:rsidP="0019210E">
      <w:pPr>
        <w:pStyle w:val="Heading1"/>
      </w:pPr>
      <w:bookmarkStart w:id="11" w:name="O_660979"/>
      <w:bookmarkEnd w:id="11"/>
      <w:r w:rsidRPr="0019210E">
        <w:t>Modification History</w:t>
      </w:r>
    </w:p>
    <w:p w:rsidR="00000000" w:rsidRPr="0019210E" w:rsidP="00561E79">
      <w:pPr>
        <w:pStyle w:val="BodyText"/>
      </w:pPr>
      <w:r w:rsidRPr="0019210E">
        <w:t>Release 1.New unit.</w:t>
      </w:r>
    </w:p>
    <w:p w:rsidR="00000000" w:rsidRPr="0019210E" w:rsidP="00561E79">
      <w:pPr>
        <w:pStyle w:val="BodyText"/>
      </w:pPr>
      <w:r w:rsidRPr="0019210E">
        <w:t>This version first released with CPP Property Services Training Package Version 1.</w:t>
      </w:r>
    </w:p>
    <w:p w:rsidR="00000000" w:rsidRPr="0019210E" w:rsidP="0019210E">
      <w:pPr>
        <w:pStyle w:val="Heading1"/>
      </w:pPr>
      <w:bookmarkStart w:id="12" w:name="O_660982"/>
      <w:bookmarkEnd w:id="12"/>
      <w:r w:rsidRPr="0019210E">
        <w:t>Performance Evidence</w:t>
      </w:r>
    </w:p>
    <w:p w:rsidR="00000000" w:rsidRPr="0019210E" w:rsidP="00561E79">
      <w:pPr>
        <w:pStyle w:val="BodyText"/>
      </w:pPr>
      <w:r w:rsidRPr="0019210E">
        <w:t>A person demonstrating competency in this unit must satisfy all of the elements, performance criteria and foundation skills of this uni</w:t>
      </w:r>
      <w:r w:rsidRPr="0019210E">
        <w:t>t, and must be able to provide evidence of the ability to analyse complete sets of drawings for the following three different types of building design projects, as defined by the Building Code of Australia (BCA). At least one of the building design project</w:t>
      </w:r>
      <w:r w:rsidRPr="0019210E">
        <w:t>s must include a Class 10 component:</w:t>
      </w:r>
    </w:p>
    <w:p w:rsidR="00000000" w:rsidRPr="0019210E" w:rsidP="0019210E">
      <w:pPr>
        <w:pStyle w:val="ListBullet"/>
      </w:pPr>
      <w:r w:rsidRPr="0019210E">
        <w:t>one Class 1 building</w:t>
      </w:r>
    </w:p>
    <w:p w:rsidR="00000000" w:rsidRPr="0019210E" w:rsidP="0019210E">
      <w:pPr>
        <w:pStyle w:val="ListBullet"/>
      </w:pPr>
      <w:r w:rsidRPr="0019210E">
        <w:t>one Class 2 building</w:t>
      </w:r>
    </w:p>
    <w:p w:rsidR="00000000" w:rsidRPr="0019210E" w:rsidP="0019210E">
      <w:pPr>
        <w:pStyle w:val="ListBullet"/>
      </w:pPr>
      <w:r w:rsidRPr="0019210E">
        <w:t>one building selected from Classes 3 to 9.</w:t>
      </w:r>
    </w:p>
    <w:p w:rsidR="00000000" w:rsidRPr="0019210E" w:rsidP="0019210E">
      <w:pPr>
        <w:pStyle w:val="BodyText"/>
      </w:pPr>
    </w:p>
    <w:p w:rsidR="00000000" w:rsidRPr="0019210E" w:rsidP="00561E79">
      <w:pPr>
        <w:pStyle w:val="BodyText"/>
      </w:pPr>
      <w:r w:rsidRPr="0019210E">
        <w:t>At least one of the above building projects must be two storeys and one building project must be three storeys or more.</w:t>
      </w:r>
    </w:p>
    <w:p w:rsidR="00000000" w:rsidRPr="0019210E" w:rsidP="00561E79">
      <w:pPr>
        <w:pStyle w:val="BodyText"/>
      </w:pPr>
      <w:r w:rsidRPr="0019210E">
        <w:t>The person m</w:t>
      </w:r>
      <w:r w:rsidRPr="0019210E">
        <w:t>ust present and discuss with the project architect or building designer:</w:t>
      </w:r>
    </w:p>
    <w:p w:rsidR="00000000" w:rsidRPr="0019210E" w:rsidP="0019210E">
      <w:pPr>
        <w:pStyle w:val="ListBullet"/>
      </w:pPr>
      <w:r w:rsidRPr="0019210E">
        <w:t>an analysis of relevant information, features and details included on architectural drawings, including:</w:t>
      </w:r>
    </w:p>
    <w:p w:rsidR="00000000" w:rsidRPr="0019210E" w:rsidP="0019210E">
      <w:pPr>
        <w:pStyle w:val="ListBullet2"/>
      </w:pPr>
      <w:r w:rsidRPr="0019210E">
        <w:t>details</w:t>
      </w:r>
    </w:p>
    <w:p w:rsidR="00000000" w:rsidRPr="0019210E" w:rsidP="0019210E">
      <w:pPr>
        <w:pStyle w:val="ListBullet2"/>
      </w:pPr>
      <w:r w:rsidRPr="0019210E">
        <w:t>elevations</w:t>
      </w:r>
    </w:p>
    <w:p w:rsidR="00000000" w:rsidRPr="0019210E" w:rsidP="0019210E">
      <w:pPr>
        <w:pStyle w:val="ListBullet2"/>
      </w:pPr>
      <w:r w:rsidRPr="0019210E">
        <w:t>plans:</w:t>
      </w:r>
    </w:p>
    <w:p w:rsidR="00000000" w:rsidRPr="0019210E" w:rsidP="0019210E">
      <w:pPr>
        <w:pStyle w:val="ListBullet3"/>
      </w:pPr>
      <w:r w:rsidRPr="0019210E">
        <w:t>footings and slab setout</w:t>
      </w:r>
    </w:p>
    <w:p w:rsidR="00000000" w:rsidRPr="0019210E" w:rsidP="0019210E">
      <w:pPr>
        <w:pStyle w:val="ListBullet3"/>
      </w:pPr>
      <w:r w:rsidRPr="0019210E">
        <w:t>roof framing layout</w:t>
      </w:r>
    </w:p>
    <w:p w:rsidR="00000000" w:rsidRPr="0019210E" w:rsidP="0019210E">
      <w:pPr>
        <w:pStyle w:val="ListBullet3"/>
      </w:pPr>
      <w:r w:rsidRPr="0019210E">
        <w:t>wall framing layout</w:t>
      </w:r>
    </w:p>
    <w:p w:rsidR="00000000" w:rsidRPr="0019210E" w:rsidP="0019210E">
      <w:pPr>
        <w:pStyle w:val="ListBullet2"/>
      </w:pPr>
      <w:r w:rsidRPr="0019210E">
        <w:t>sections</w:t>
      </w:r>
    </w:p>
    <w:p w:rsidR="00000000" w:rsidRPr="0019210E" w:rsidP="0019210E">
      <w:pPr>
        <w:pStyle w:val="ListBullet2"/>
      </w:pPr>
      <w:r w:rsidRPr="0019210E">
        <w:t>site plans</w:t>
      </w:r>
    </w:p>
    <w:p w:rsidR="00000000" w:rsidRPr="0019210E" w:rsidP="0019210E">
      <w:pPr>
        <w:pStyle w:val="ListBullet2"/>
      </w:pPr>
      <w:r w:rsidRPr="0019210E">
        <w:t>sub-floor and floor plans</w:t>
      </w:r>
    </w:p>
    <w:p w:rsidR="00000000" w:rsidRPr="0019210E" w:rsidP="0019210E">
      <w:pPr>
        <w:pStyle w:val="ListBullet"/>
      </w:pPr>
      <w:r w:rsidRPr="0019210E">
        <w:t xml:space="preserve">analysis of information, features and details included on drawings specifically required for the project from consultants as listed in the range of conditions </w:t>
      </w:r>
    </w:p>
    <w:p w:rsidR="00000000" w:rsidRPr="0019210E" w:rsidP="0019210E">
      <w:pPr>
        <w:pStyle w:val="ListBullet"/>
      </w:pPr>
      <w:r w:rsidRPr="0019210E">
        <w:t>clarification of unknown elements of drawings through consultation, as required</w:t>
      </w:r>
    </w:p>
    <w:p w:rsidR="00000000" w:rsidRPr="0019210E" w:rsidP="0019210E">
      <w:pPr>
        <w:pStyle w:val="ListBullet"/>
      </w:pPr>
      <w:r w:rsidRPr="0019210E">
        <w:t>anomalies in drawings, including strategies for producing corrections to drawings</w:t>
      </w:r>
    </w:p>
    <w:p w:rsidR="00000000" w:rsidRPr="0019210E" w:rsidP="0019210E">
      <w:pPr>
        <w:pStyle w:val="ListBullet"/>
      </w:pPr>
      <w:r w:rsidRPr="0019210E">
        <w:t>strategies for correcting drawings, as required.</w:t>
      </w:r>
    </w:p>
    <w:p w:rsidR="00000000" w:rsidRPr="0019210E" w:rsidP="0019210E">
      <w:pPr>
        <w:pStyle w:val="AllowPageBreak"/>
      </w:pPr>
    </w:p>
    <w:p w:rsidR="00000000" w:rsidRPr="0019210E" w:rsidP="0019210E">
      <w:pPr>
        <w:pStyle w:val="Heading1"/>
      </w:pPr>
      <w:bookmarkStart w:id="13" w:name="O_660981"/>
      <w:bookmarkEnd w:id="13"/>
      <w:r w:rsidRPr="0019210E">
        <w:t>Knowledge Evidence</w:t>
      </w:r>
    </w:p>
    <w:p w:rsidR="00000000" w:rsidRPr="0019210E" w:rsidP="00561E79">
      <w:pPr>
        <w:pStyle w:val="BodyText"/>
      </w:pPr>
      <w:r w:rsidRPr="0019210E">
        <w:t xml:space="preserve">A person </w:t>
      </w:r>
      <w:r w:rsidRPr="0019210E">
        <w:t>demonstrating competency in this unit must be able to demonstrate the knowledge required to analyse building design drawings for the building projects specified in the performance evidence, including:</w:t>
      </w:r>
    </w:p>
    <w:p w:rsidR="00000000" w:rsidRPr="0019210E" w:rsidP="0019210E">
      <w:pPr>
        <w:pStyle w:val="ListBullet"/>
      </w:pPr>
      <w:r w:rsidRPr="0019210E">
        <w:t>principles of structural engineering sufficient to rec</w:t>
      </w:r>
      <w:r w:rsidRPr="0019210E">
        <w:t>ognise structural anomalies in building design drawings for the building projects and report them to the designer</w:t>
      </w:r>
    </w:p>
    <w:p w:rsidR="00000000" w:rsidRPr="0019210E" w:rsidP="0019210E">
      <w:pPr>
        <w:pStyle w:val="ListBullet"/>
      </w:pPr>
      <w:r w:rsidRPr="0019210E">
        <w:t>basic principles of the work of those construction professionals who are required to contribute to the building designs of the projects, inclu</w:t>
      </w:r>
      <w:r w:rsidRPr="0019210E">
        <w:t>ding:</w:t>
      </w:r>
    </w:p>
    <w:p w:rsidR="00000000" w:rsidRPr="0019210E" w:rsidP="0019210E">
      <w:pPr>
        <w:pStyle w:val="ListBullet2"/>
      </w:pPr>
      <w:r w:rsidRPr="0019210E">
        <w:t xml:space="preserve">consultants </w:t>
      </w:r>
    </w:p>
    <w:p w:rsidR="00000000" w:rsidRPr="0019210E" w:rsidP="0019210E">
      <w:pPr>
        <w:pStyle w:val="ListBullet2"/>
      </w:pPr>
      <w:r w:rsidRPr="0019210E">
        <w:t>engineers</w:t>
      </w:r>
    </w:p>
    <w:p w:rsidR="00000000" w:rsidRPr="0019210E" w:rsidP="0019210E">
      <w:pPr>
        <w:pStyle w:val="ListBullet2"/>
      </w:pPr>
      <w:r w:rsidRPr="0019210E">
        <w:t>surveyors</w:t>
      </w:r>
    </w:p>
    <w:p w:rsidR="00000000" w:rsidRPr="0019210E" w:rsidP="0019210E">
      <w:pPr>
        <w:pStyle w:val="ListBullet"/>
      </w:pPr>
      <w:r w:rsidRPr="0019210E">
        <w:t>building construction techniques and processes applied to the construction of the buildings</w:t>
      </w:r>
    </w:p>
    <w:p w:rsidR="00000000" w:rsidRPr="0019210E" w:rsidP="0019210E">
      <w:pPr>
        <w:pStyle w:val="ListBullet"/>
      </w:pPr>
      <w:r w:rsidRPr="0019210E">
        <w:t>building materials used in the construction of the buildings, and their application</w:t>
      </w:r>
    </w:p>
    <w:p w:rsidR="00000000" w:rsidRPr="0019210E" w:rsidP="0019210E">
      <w:pPr>
        <w:pStyle w:val="ListBullet"/>
      </w:pPr>
      <w:r w:rsidRPr="0019210E">
        <w:t>building designers’</w:t>
      </w:r>
      <w:r w:rsidRPr="0019210E">
        <w:t xml:space="preserve"> duty of care to ensure quality and safety of designs</w:t>
      </w:r>
    </w:p>
    <w:p w:rsidR="00000000" w:rsidRPr="0019210E" w:rsidP="0019210E">
      <w:pPr>
        <w:pStyle w:val="ListBullet"/>
      </w:pPr>
      <w:r w:rsidRPr="0019210E">
        <w:t>construction terminology required to discuss content of internally and externally sourced drawings with work colleagues and designer</w:t>
      </w:r>
    </w:p>
    <w:p w:rsidR="00000000" w:rsidRPr="0019210E" w:rsidP="0019210E">
      <w:pPr>
        <w:pStyle w:val="ListBullet"/>
      </w:pPr>
      <w:r w:rsidRPr="0019210E">
        <w:t>conventions and formats used for:</w:t>
      </w:r>
    </w:p>
    <w:p w:rsidR="00000000" w:rsidRPr="0019210E" w:rsidP="0019210E">
      <w:pPr>
        <w:pStyle w:val="ListBullet2"/>
      </w:pPr>
      <w:r w:rsidRPr="0019210E">
        <w:t>architectural drawings</w:t>
      </w:r>
    </w:p>
    <w:p w:rsidR="00000000" w:rsidRPr="0019210E" w:rsidP="0019210E">
      <w:pPr>
        <w:pStyle w:val="ListBullet2"/>
      </w:pPr>
      <w:r w:rsidRPr="0019210E">
        <w:t>general tec</w:t>
      </w:r>
      <w:r w:rsidRPr="0019210E">
        <w:t>hnical drawings</w:t>
      </w:r>
    </w:p>
    <w:p w:rsidR="00000000" w:rsidRPr="0019210E" w:rsidP="0019210E">
      <w:pPr>
        <w:pStyle w:val="ListBullet"/>
      </w:pPr>
      <w:r w:rsidRPr="0019210E">
        <w:t>drawing standards:</w:t>
      </w:r>
    </w:p>
    <w:p w:rsidR="00000000" w:rsidRPr="0019210E" w:rsidP="0019210E">
      <w:pPr>
        <w:pStyle w:val="ListBullet2"/>
      </w:pPr>
      <w:r w:rsidRPr="0019210E">
        <w:t>AS1100.101 Technical drawing - General principles</w:t>
      </w:r>
    </w:p>
    <w:p w:rsidR="00000000" w:rsidRPr="0019210E" w:rsidP="0019210E">
      <w:pPr>
        <w:pStyle w:val="ListBullet2"/>
      </w:pPr>
      <w:r w:rsidRPr="0019210E">
        <w:t>AS1100.301 Technical drawing - Architectural drawing</w:t>
      </w:r>
    </w:p>
    <w:p w:rsidR="00000000" w:rsidRPr="0019210E" w:rsidP="0019210E">
      <w:pPr>
        <w:pStyle w:val="ListBullet2"/>
      </w:pPr>
      <w:r w:rsidRPr="0019210E">
        <w:t>AS1101.1 Graphic symbols for general engineering - Hydraulic and pneumatic systems</w:t>
      </w:r>
    </w:p>
    <w:p w:rsidR="00000000" w:rsidRPr="0019210E" w:rsidP="0019210E">
      <w:pPr>
        <w:pStyle w:val="ListBullet"/>
      </w:pPr>
      <w:r w:rsidRPr="0019210E">
        <w:t>types of drawings relevant to bu</w:t>
      </w:r>
      <w:r w:rsidRPr="0019210E">
        <w:t xml:space="preserve">ilding design projects. </w:t>
      </w:r>
    </w:p>
    <w:p w:rsidR="00000000" w:rsidRPr="0019210E" w:rsidP="0019210E">
      <w:pPr>
        <w:pStyle w:val="AllowPageBreak"/>
      </w:pPr>
    </w:p>
    <w:p w:rsidR="00000000" w:rsidRPr="0019210E" w:rsidP="0019210E">
      <w:pPr>
        <w:pStyle w:val="Heading1"/>
      </w:pPr>
      <w:bookmarkStart w:id="14" w:name="O_660980"/>
      <w:bookmarkEnd w:id="14"/>
      <w:r w:rsidRPr="0019210E">
        <w:t>Assessment Conditions</w:t>
      </w:r>
    </w:p>
    <w:p w:rsidR="00000000" w:rsidRPr="0019210E" w:rsidP="00561E79">
      <w:pPr>
        <w:pStyle w:val="BodyText"/>
      </w:pPr>
      <w:r w:rsidRPr="0019210E">
        <w:t>Assessment must be conducted in the workplace or a close simulation of the workplace.</w:t>
      </w:r>
    </w:p>
    <w:p w:rsidR="00000000" w:rsidRPr="0019210E" w:rsidP="00561E79">
      <w:pPr>
        <w:pStyle w:val="BodyText"/>
      </w:pPr>
      <w:r w:rsidRPr="0019210E">
        <w:t>Suitable assessment of performance requires:</w:t>
      </w:r>
    </w:p>
    <w:p w:rsidR="00000000" w:rsidRPr="0019210E" w:rsidP="0019210E">
      <w:pPr>
        <w:pStyle w:val="ListBullet"/>
      </w:pPr>
      <w:r w:rsidRPr="0019210E">
        <w:t>equipment:</w:t>
      </w:r>
    </w:p>
    <w:p w:rsidR="00000000" w:rsidRPr="0019210E" w:rsidP="0019210E">
      <w:pPr>
        <w:pStyle w:val="ListBullet2"/>
      </w:pPr>
      <w:r w:rsidRPr="0019210E">
        <w:t>computer with internet access and building information modelling (BIM)-capable building design software materials</w:t>
      </w:r>
    </w:p>
    <w:p w:rsidR="00000000" w:rsidRPr="0019210E" w:rsidP="0019210E">
      <w:pPr>
        <w:pStyle w:val="ListBullet"/>
      </w:pPr>
      <w:r w:rsidRPr="0019210E">
        <w:t>relationships with team members and supervisor:</w:t>
      </w:r>
    </w:p>
    <w:p w:rsidR="00000000" w:rsidRPr="0019210E" w:rsidP="0019210E">
      <w:pPr>
        <w:pStyle w:val="ListBullet2"/>
      </w:pPr>
      <w:r w:rsidRPr="0019210E">
        <w:t>tasks may be completed as an individual and as a team member, under the direction of an arch</w:t>
      </w:r>
      <w:r w:rsidRPr="0019210E">
        <w:t>itect, building designer or other relevant person</w:t>
      </w:r>
    </w:p>
    <w:p w:rsidR="00000000" w:rsidRPr="0019210E" w:rsidP="0019210E">
      <w:pPr>
        <w:pStyle w:val="ListBullet"/>
      </w:pPr>
      <w:r w:rsidRPr="0019210E">
        <w:t>specifications:</w:t>
      </w:r>
    </w:p>
    <w:p w:rsidR="00000000" w:rsidRPr="0019210E" w:rsidP="0019210E">
      <w:pPr>
        <w:pStyle w:val="ListBullet2"/>
      </w:pPr>
      <w:r w:rsidRPr="0019210E">
        <w:t>Australian standards for drawing</w:t>
      </w:r>
    </w:p>
    <w:p w:rsidR="00000000" w:rsidRPr="0019210E" w:rsidP="0019210E">
      <w:pPr>
        <w:pStyle w:val="ListBullet2"/>
      </w:pPr>
      <w:r w:rsidRPr="0019210E">
        <w:t>design drawings for building projects specified in the performance evidence.</w:t>
      </w:r>
    </w:p>
    <w:p w:rsidR="00000000" w:rsidRPr="0019210E" w:rsidP="0019210E">
      <w:pPr>
        <w:pStyle w:val="BodyText"/>
      </w:pPr>
    </w:p>
    <w:p w:rsidR="00000000" w:rsidRPr="0019210E" w:rsidP="00561E79">
      <w:pPr>
        <w:pStyle w:val="Heading3"/>
      </w:pPr>
      <w:r w:rsidRPr="0019210E">
        <w:rPr>
          <w:rStyle w:val="SpecialBold"/>
        </w:rPr>
        <w:t>Assessor requirements</w:t>
      </w:r>
    </w:p>
    <w:p w:rsidR="00000000" w:rsidRPr="0019210E" w:rsidP="00561E79">
      <w:pPr>
        <w:pStyle w:val="BodyText"/>
      </w:pPr>
      <w:r w:rsidRPr="0019210E">
        <w:t xml:space="preserve">As a minimum, assessors must satisfy SNR/AQTF assessor </w:t>
      </w:r>
      <w:r w:rsidRPr="0019210E">
        <w:t>requirements.</w:t>
      </w:r>
    </w:p>
    <w:p w:rsidR="00000000" w:rsidRPr="0019210E" w:rsidP="0019210E">
      <w:pPr>
        <w:pStyle w:val="Heading1"/>
      </w:pPr>
      <w:bookmarkStart w:id="15" w:name="O_660978"/>
      <w:bookmarkEnd w:id="15"/>
      <w:r w:rsidRPr="0019210E">
        <w:t>Links</w:t>
      </w:r>
    </w:p>
    <w:p w:rsidR="00000000" w:rsidRPr="0019210E" w:rsidP="00561E79">
      <w:pPr>
        <w:pStyle w:val="BodyText"/>
      </w:pPr>
      <w:r w:rsidRPr="0019210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F1118">
        <w:rPr>
          <w:rStyle w:val="Hyperlink"/>
        </w:rPr>
        <w:t>https://vetnet.gov.au/Pages/TrainingDocs.aspx?q=6f3f9672-30e8-4835-b348-205dfcf13d9b</w:t>
      </w:r>
      <w:r>
        <w:fldChar w:fldCharType="end"/>
      </w:r>
    </w:p>
    <w:p w:rsidR="00000000" w:rsidRPr="0019210E" w:rsidP="0019210E"/>
    <w:sectPr w:rsidSect="001921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0E" w:rsidRPr="00561E79" w:rsidP="00561E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79" w:rsidP="001921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61E79" w:rsidP="001921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61E79" w:rsidP="001921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0E" w:rsidP="0019210E">
    <w:pPr>
      <w:pStyle w:val="Footer"/>
      <w:framePr w:wrap="around"/>
    </w:pPr>
    <w:r>
      <w:fldChar w:fldCharType="begin"/>
    </w:r>
    <w:r>
      <w:instrText xml:space="preserve"> DOCPROPERTY  Subject  \* MERGEFORMAT </w:instrText>
    </w:r>
    <w:r>
      <w:fldChar w:fldCharType="separate"/>
    </w:r>
    <w:r w:rsidR="00561E79">
      <w:t>Approved</w:t>
    </w:r>
    <w:r w:rsidR="00561E79">
      <w:fldChar w:fldCharType="end"/>
    </w:r>
    <w:r>
      <w:tab/>
      <w:t xml:space="preserve">Page </w:t>
    </w:r>
    <w:r>
      <w:fldChar w:fldCharType="begin"/>
    </w:r>
    <w:r>
      <w:instrText xml:space="preserve"> PAGE  \* Arabic  \* MERGEFORMAT </w:instrText>
    </w:r>
    <w:r>
      <w:fldChar w:fldCharType="separate"/>
    </w:r>
    <w:r w:rsidR="00561E7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1E79">
      <w:rPr>
        <w:noProof/>
      </w:rPr>
      <w:t>6</w:t>
    </w:r>
    <w:r>
      <w:rPr>
        <w:noProof/>
      </w:rPr>
      <w:fldChar w:fldCharType="end"/>
    </w:r>
  </w:p>
  <w:p w:rsidR="0019210E" w:rsidP="0019210E">
    <w:pPr>
      <w:pStyle w:val="Footer"/>
      <w:framePr w:wrap="around"/>
    </w:pPr>
    <w:r>
      <w:t xml:space="preserve">© Commonwealth of Australia, </w:t>
    </w:r>
    <w:r>
      <w:fldChar w:fldCharType="begin"/>
    </w:r>
    <w:r>
      <w:instrText xml:space="preserve"> DATE  \@ "yyyy"  \* MERGEFORMAT </w:instrText>
    </w:r>
    <w:r>
      <w:fldChar w:fldCharType="separate"/>
    </w:r>
    <w:r w:rsidR="00561E79">
      <w:rPr>
        <w:noProof/>
      </w:rPr>
      <w:t>2025</w:t>
    </w:r>
    <w:r>
      <w:fldChar w:fldCharType="end"/>
    </w:r>
    <w:r>
      <w:tab/>
    </w:r>
    <w:r>
      <w:fldChar w:fldCharType="begin"/>
    </w:r>
    <w:r>
      <w:instrText xml:space="preserve"> DOCPROPERTY  Author  \* MERGEFORMAT </w:instrText>
    </w:r>
    <w:r>
      <w:fldChar w:fldCharType="separate"/>
    </w:r>
    <w:r w:rsidR="00561E79">
      <w:t>BuildSkills Australia</w:t>
    </w:r>
    <w:r w:rsidR="00561E79">
      <w:fldChar w:fldCharType="end"/>
    </w:r>
  </w:p>
  <w:p w:rsidR="0019210E" w:rsidP="001921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10E" w:rsidRPr="00561E79" w:rsidP="00561E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79" w:rsidRPr="002D2AF8" w:rsidP="0019210E">
    <w:pPr>
      <w:pStyle w:val="Header"/>
      <w:framePr w:wrap="around"/>
    </w:pPr>
    <w:r>
      <w:fldChar w:fldCharType="begin"/>
    </w:r>
    <w:r>
      <w:instrText xml:space="preserve"> TITLE   \* MERGEFORMAT </w:instrText>
    </w:r>
    <w:r>
      <w:fldChar w:fldCharType="separate"/>
    </w:r>
    <w:r>
      <w:t>CPPBDN4009 Analyse building design drawings and review findings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1E79" w:rsidP="001921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0E" w:rsidRPr="002D2AF8" w:rsidP="0019210E">
    <w:pPr>
      <w:pStyle w:val="Header"/>
      <w:framePr w:wrap="around"/>
    </w:pPr>
    <w:r>
      <w:fldChar w:fldCharType="begin"/>
    </w:r>
    <w:r>
      <w:instrText xml:space="preserve"> TITLE   \* MERGEFORMAT </w:instrText>
    </w:r>
    <w:r>
      <w:fldChar w:fldCharType="separate"/>
    </w:r>
    <w:r w:rsidR="00561E79">
      <w:t>CPPBDN4009 Analyse building design drawings and review findings</w:t>
    </w:r>
    <w:r w:rsidR="00561E79">
      <w:fldChar w:fldCharType="end"/>
    </w:r>
    <w:r>
      <w:tab/>
      <w:t xml:space="preserve">Date this document was generated: </w:t>
    </w:r>
    <w:r>
      <w:fldChar w:fldCharType="begin"/>
    </w:r>
    <w:r>
      <w:instrText xml:space="preserve"> CREATEDATE  \@ "d MMMM yyyy"  \* MERGEFORMAT </w:instrText>
    </w:r>
    <w:r>
      <w:fldChar w:fldCharType="separate"/>
    </w:r>
    <w:r w:rsidR="00561E79">
      <w:rPr>
        <w:noProof/>
      </w:rPr>
      <w:t>2 March 2025</w:t>
    </w:r>
    <w:r>
      <w:fldChar w:fldCharType="end"/>
    </w:r>
  </w:p>
  <w:p w:rsidR="0019210E" w:rsidP="001921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2E68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B27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6C14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1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10E"/>
    <w:pPr>
      <w:spacing w:before="360" w:after="60"/>
      <w:outlineLvl w:val="0"/>
    </w:pPr>
    <w:rPr>
      <w:sz w:val="32"/>
    </w:rPr>
  </w:style>
  <w:style w:type="paragraph" w:styleId="Heading2">
    <w:name w:val="heading 2"/>
    <w:basedOn w:val="HeadingBase"/>
    <w:next w:val="BodyText"/>
    <w:link w:val="Heading2Char"/>
    <w:qFormat/>
    <w:rsid w:val="0019210E"/>
    <w:pPr>
      <w:keepLines/>
      <w:spacing w:before="240" w:after="120"/>
      <w:outlineLvl w:val="1"/>
    </w:pPr>
    <w:rPr>
      <w:sz w:val="28"/>
      <w:szCs w:val="40"/>
    </w:rPr>
  </w:style>
  <w:style w:type="paragraph" w:styleId="Heading3">
    <w:name w:val="heading 3"/>
    <w:basedOn w:val="HeadingBase"/>
    <w:next w:val="BodyText"/>
    <w:link w:val="Heading3Char"/>
    <w:qFormat/>
    <w:rsid w:val="0019210E"/>
    <w:pPr>
      <w:spacing w:before="180" w:after="120"/>
      <w:outlineLvl w:val="2"/>
    </w:pPr>
    <w:rPr>
      <w:spacing w:val="-10"/>
      <w:kern w:val="32"/>
    </w:rPr>
  </w:style>
  <w:style w:type="paragraph" w:styleId="Heading4">
    <w:name w:val="heading 4"/>
    <w:basedOn w:val="HeadingBase"/>
    <w:next w:val="BodyText"/>
    <w:link w:val="Heading4Char"/>
    <w:qFormat/>
    <w:rsid w:val="0019210E"/>
    <w:pPr>
      <w:spacing w:before="160" w:after="120"/>
      <w:outlineLvl w:val="3"/>
    </w:pPr>
    <w:rPr>
      <w:sz w:val="22"/>
    </w:rPr>
  </w:style>
  <w:style w:type="paragraph" w:styleId="Heading5">
    <w:name w:val="heading 5"/>
    <w:basedOn w:val="HeadingBase"/>
    <w:next w:val="Normal"/>
    <w:link w:val="Heading5Char"/>
    <w:qFormat/>
    <w:rsid w:val="0019210E"/>
    <w:pPr>
      <w:spacing w:before="80"/>
      <w:outlineLvl w:val="4"/>
    </w:pPr>
    <w:rPr>
      <w:color w:val="918585"/>
      <w:sz w:val="20"/>
    </w:rPr>
  </w:style>
  <w:style w:type="paragraph" w:styleId="Heading6">
    <w:name w:val="heading 6"/>
    <w:basedOn w:val="HeadingBase"/>
    <w:next w:val="Normal"/>
    <w:link w:val="Heading6Char"/>
    <w:qFormat/>
    <w:rsid w:val="0019210E"/>
    <w:pPr>
      <w:spacing w:before="60"/>
      <w:outlineLvl w:val="5"/>
    </w:pPr>
    <w:rPr>
      <w:color w:val="918585"/>
      <w:sz w:val="20"/>
    </w:rPr>
  </w:style>
  <w:style w:type="paragraph" w:styleId="Heading7">
    <w:name w:val="heading 7"/>
    <w:basedOn w:val="Normal"/>
    <w:next w:val="Normal"/>
    <w:link w:val="Heading7Char"/>
    <w:qFormat/>
    <w:rsid w:val="0019210E"/>
    <w:pPr>
      <w:ind w:left="720"/>
      <w:outlineLvl w:val="6"/>
    </w:pPr>
    <w:rPr>
      <w:i/>
    </w:rPr>
  </w:style>
  <w:style w:type="paragraph" w:styleId="Heading8">
    <w:name w:val="heading 8"/>
    <w:basedOn w:val="Normal"/>
    <w:next w:val="Normal"/>
    <w:link w:val="Heading8Char"/>
    <w:qFormat/>
    <w:rsid w:val="0019210E"/>
    <w:pPr>
      <w:ind w:left="720"/>
      <w:outlineLvl w:val="7"/>
    </w:pPr>
    <w:rPr>
      <w:i/>
    </w:rPr>
  </w:style>
  <w:style w:type="paragraph" w:styleId="Heading9">
    <w:name w:val="heading 9"/>
    <w:basedOn w:val="Normal"/>
    <w:next w:val="Normal"/>
    <w:link w:val="Heading9Char"/>
    <w:qFormat/>
    <w:rsid w:val="0019210E"/>
    <w:pPr>
      <w:ind w:left="720"/>
      <w:outlineLvl w:val="8"/>
    </w:pPr>
    <w:rPr>
      <w:i/>
    </w:rPr>
  </w:style>
  <w:style w:type="character" w:default="1" w:styleId="DefaultParagraphFont">
    <w:name w:val="Default Paragraph Font"/>
    <w:uiPriority w:val="1"/>
    <w:unhideWhenUsed/>
    <w:rsid w:val="00192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10E"/>
  </w:style>
  <w:style w:type="character" w:customStyle="1" w:styleId="Heading1Char">
    <w:name w:val="Heading 1 Char"/>
    <w:basedOn w:val="DefaultParagraphFont"/>
    <w:link w:val="Heading1"/>
    <w:rsid w:val="0019210E"/>
    <w:rPr>
      <w:rFonts w:ascii="Times New Roman" w:eastAsia="Times New Roman" w:hAnsi="Times New Roman" w:cs="Times New Roman"/>
      <w:b/>
      <w:sz w:val="32"/>
      <w:szCs w:val="20"/>
      <w:lang w:eastAsia="en-US"/>
    </w:rPr>
  </w:style>
  <w:style w:type="paragraph" w:styleId="BodyText">
    <w:name w:val="Body Text"/>
    <w:basedOn w:val="Normal"/>
    <w:link w:val="BodyTextChar"/>
    <w:rsid w:val="001921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10E"/>
    <w:rPr>
      <w:rFonts w:ascii="Times New Roman" w:eastAsia="Times New Roman" w:hAnsi="Times New Roman" w:cs="Times New Roman"/>
      <w:sz w:val="24"/>
      <w:lang w:eastAsia="en-US"/>
    </w:rPr>
  </w:style>
  <w:style w:type="paragraph" w:styleId="ListBullet">
    <w:name w:val="List Bullet"/>
    <w:basedOn w:val="List"/>
    <w:rsid w:val="0019210E"/>
    <w:pPr>
      <w:numPr>
        <w:numId w:val="13"/>
      </w:numPr>
      <w:tabs>
        <w:tab w:val="clear" w:pos="340"/>
      </w:tabs>
      <w:spacing w:before="40" w:after="40"/>
    </w:pPr>
  </w:style>
  <w:style w:type="character" w:customStyle="1" w:styleId="SpecialBold">
    <w:name w:val="Special Bold"/>
    <w:basedOn w:val="DefaultParagraphFont"/>
    <w:rsid w:val="0019210E"/>
    <w:rPr>
      <w:b/>
      <w:spacing w:val="0"/>
    </w:rPr>
  </w:style>
  <w:style w:type="paragraph" w:styleId="ListBullet2">
    <w:name w:val="List Bullet 2"/>
    <w:basedOn w:val="List2"/>
    <w:rsid w:val="0019210E"/>
    <w:pPr>
      <w:numPr>
        <w:numId w:val="14"/>
      </w:numPr>
      <w:tabs>
        <w:tab w:val="clear" w:pos="680"/>
      </w:tabs>
    </w:pPr>
  </w:style>
  <w:style w:type="paragraph" w:customStyle="1" w:styleId="SuperHeading">
    <w:name w:val="SuperHeading"/>
    <w:basedOn w:val="Normal"/>
    <w:rsid w:val="0019210E"/>
    <w:pPr>
      <w:spacing w:before="240" w:after="120"/>
      <w:outlineLvl w:val="0"/>
    </w:pPr>
    <w:rPr>
      <w:rFonts w:ascii="Times New Roman" w:hAnsi="Times New Roman"/>
      <w:b/>
      <w:sz w:val="32"/>
    </w:rPr>
  </w:style>
  <w:style w:type="paragraph" w:customStyle="1" w:styleId="AllowPageBreak">
    <w:name w:val="AllowPageBreak"/>
    <w:rsid w:val="001921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210E"/>
    <w:pPr>
      <w:numPr>
        <w:numId w:val="3"/>
      </w:numPr>
      <w:tabs>
        <w:tab w:val="clear" w:pos="1021"/>
      </w:tabs>
      <w:ind w:left="1037" w:hanging="357"/>
    </w:pPr>
  </w:style>
  <w:style w:type="character" w:customStyle="1" w:styleId="BoldandItalics">
    <w:name w:val="Bold and Italics"/>
    <w:qFormat/>
    <w:rsid w:val="0019210E"/>
    <w:rPr>
      <w:b/>
      <w:i/>
      <w:u w:val="none"/>
    </w:rPr>
  </w:style>
  <w:style w:type="character" w:customStyle="1" w:styleId="Heading2Char">
    <w:name w:val="Heading 2 Char"/>
    <w:basedOn w:val="DefaultParagraphFont"/>
    <w:link w:val="Heading2"/>
    <w:rsid w:val="00192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1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1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1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1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10E"/>
    <w:rPr>
      <w:rFonts w:ascii="Courier New" w:eastAsia="Times New Roman" w:hAnsi="Courier New" w:cs="Times New Roman"/>
      <w:i/>
      <w:szCs w:val="20"/>
      <w:lang w:eastAsia="en-US"/>
    </w:rPr>
  </w:style>
  <w:style w:type="paragraph" w:customStyle="1" w:styleId="HeadingBase">
    <w:name w:val="Heading Base"/>
    <w:rsid w:val="00192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10E"/>
    <w:pPr>
      <w:tabs>
        <w:tab w:val="right" w:leader="dot" w:pos="9072"/>
      </w:tabs>
      <w:ind w:left="567"/>
    </w:pPr>
    <w:rPr>
      <w:szCs w:val="22"/>
    </w:rPr>
  </w:style>
  <w:style w:type="paragraph" w:customStyle="1" w:styleId="TOCBase">
    <w:name w:val="TOC Base"/>
    <w:rsid w:val="00192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10E"/>
    <w:pPr>
      <w:tabs>
        <w:tab w:val="right" w:leader="dot" w:pos="9072"/>
      </w:tabs>
      <w:spacing w:before="40" w:after="40"/>
      <w:ind w:left="284"/>
    </w:pPr>
    <w:rPr>
      <w:rFonts w:ascii="Times New Roman" w:hAnsi="Times New Roman"/>
    </w:rPr>
  </w:style>
  <w:style w:type="paragraph" w:styleId="TOC1">
    <w:name w:val="toc 1"/>
    <w:basedOn w:val="TOCBase"/>
    <w:next w:val="Normal"/>
    <w:rsid w:val="001921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10E"/>
    <w:rPr>
      <w:rFonts w:ascii="Times New Roman" w:eastAsia="Times New Roman" w:hAnsi="Times New Roman" w:cs="Times New Roman"/>
      <w:sz w:val="16"/>
      <w:lang w:eastAsia="en-US"/>
    </w:rPr>
  </w:style>
  <w:style w:type="paragraph" w:styleId="Title">
    <w:name w:val="Title"/>
    <w:basedOn w:val="HeadingBase"/>
    <w:link w:val="TitleChar"/>
    <w:qFormat/>
    <w:rsid w:val="0019210E"/>
    <w:pPr>
      <w:spacing w:before="5040"/>
      <w:jc w:val="center"/>
    </w:pPr>
    <w:rPr>
      <w:sz w:val="48"/>
      <w:szCs w:val="72"/>
      <w:lang w:val="en-US"/>
    </w:rPr>
  </w:style>
  <w:style w:type="character" w:customStyle="1" w:styleId="TitleChar">
    <w:name w:val="Title Char"/>
    <w:basedOn w:val="DefaultParagraphFont"/>
    <w:link w:val="Title"/>
    <w:rsid w:val="00192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10E"/>
    <w:pPr>
      <w:tabs>
        <w:tab w:val="left" w:pos="3600"/>
        <w:tab w:val="left" w:pos="3958"/>
      </w:tabs>
    </w:pPr>
  </w:style>
  <w:style w:type="paragraph" w:styleId="List">
    <w:name w:val="List"/>
    <w:basedOn w:val="BodyText"/>
    <w:next w:val="BodyText"/>
    <w:rsid w:val="0019210E"/>
    <w:pPr>
      <w:tabs>
        <w:tab w:val="left" w:pos="340"/>
      </w:tabs>
      <w:spacing w:before="60" w:after="60"/>
      <w:ind w:left="340" w:hanging="340"/>
    </w:pPr>
  </w:style>
  <w:style w:type="paragraph" w:customStyle="1" w:styleId="Note">
    <w:name w:val="Note"/>
    <w:basedOn w:val="BodyText"/>
    <w:rsid w:val="00192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10E"/>
    <w:pPr>
      <w:framePr w:wrap="auto" w:hAnchor="text" w:y="6049"/>
    </w:pPr>
    <w:rPr>
      <w:color w:val="000000"/>
      <w:sz w:val="40"/>
    </w:rPr>
  </w:style>
  <w:style w:type="paragraph" w:customStyle="1" w:styleId="TOCTitle">
    <w:name w:val="TOCTitle"/>
    <w:basedOn w:val="Heading1"/>
    <w:rsid w:val="0019210E"/>
    <w:pPr>
      <w:spacing w:after="240"/>
      <w:jc w:val="center"/>
      <w:outlineLvl w:val="9"/>
    </w:pPr>
    <w:rPr>
      <w:caps/>
    </w:rPr>
  </w:style>
  <w:style w:type="paragraph" w:customStyle="1" w:styleId="Version">
    <w:name w:val="Version"/>
    <w:rsid w:val="001921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10E"/>
    <w:pPr>
      <w:keepNext w:val="0"/>
      <w:tabs>
        <w:tab w:val="right" w:pos="4176"/>
      </w:tabs>
      <w:ind w:left="198" w:hanging="198"/>
    </w:pPr>
    <w:rPr>
      <w:rFonts w:ascii="Garamond" w:hAnsi="Garamond"/>
    </w:rPr>
  </w:style>
  <w:style w:type="paragraph" w:styleId="IndexHeading">
    <w:name w:val="index heading"/>
    <w:basedOn w:val="Normal"/>
    <w:next w:val="Index1"/>
    <w:semiHidden/>
    <w:rsid w:val="0019210E"/>
    <w:pPr>
      <w:spacing w:before="120" w:after="120"/>
    </w:pPr>
    <w:rPr>
      <w:rFonts w:ascii="Arial" w:hAnsi="Arial"/>
      <w:b/>
      <w:color w:val="918585"/>
      <w:sz w:val="24"/>
    </w:rPr>
  </w:style>
  <w:style w:type="paragraph" w:styleId="Header">
    <w:name w:val="header"/>
    <w:basedOn w:val="Normal"/>
    <w:link w:val="HeaderChar"/>
    <w:rsid w:val="00192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10E"/>
    <w:rPr>
      <w:rFonts w:ascii="Times New Roman" w:eastAsia="Times New Roman" w:hAnsi="Times New Roman" w:cs="Times New Roman"/>
      <w:sz w:val="16"/>
      <w:szCs w:val="20"/>
      <w:lang w:val="en-GB" w:eastAsia="en-US"/>
    </w:rPr>
  </w:style>
  <w:style w:type="paragraph" w:customStyle="1" w:styleId="Chapter">
    <w:name w:val="Chapter"/>
    <w:basedOn w:val="Normal"/>
    <w:rsid w:val="0019210E"/>
    <w:pPr>
      <w:spacing w:before="240"/>
    </w:pPr>
    <w:rPr>
      <w:rFonts w:ascii="Times New Roman" w:hAnsi="Times New Roman"/>
      <w:smallCaps/>
      <w:spacing w:val="80"/>
      <w:sz w:val="28"/>
    </w:rPr>
  </w:style>
  <w:style w:type="paragraph" w:customStyle="1" w:styleId="InChapter">
    <w:name w:val="InChapter"/>
    <w:basedOn w:val="Heading3"/>
    <w:rsid w:val="0019210E"/>
    <w:pPr>
      <w:spacing w:after="240"/>
      <w:outlineLvl w:val="9"/>
    </w:pPr>
    <w:rPr>
      <w:noProof/>
    </w:rPr>
  </w:style>
  <w:style w:type="paragraph" w:styleId="Index2">
    <w:name w:val="index 2"/>
    <w:basedOn w:val="Normal"/>
    <w:next w:val="Normal"/>
    <w:semiHidden/>
    <w:rsid w:val="0019210E"/>
    <w:pPr>
      <w:tabs>
        <w:tab w:val="right" w:pos="4176"/>
      </w:tabs>
      <w:ind w:left="568" w:hanging="284"/>
    </w:pPr>
    <w:rPr>
      <w:rFonts w:ascii="Garamond" w:hAnsi="Garamond"/>
    </w:rPr>
  </w:style>
  <w:style w:type="paragraph" w:customStyle="1" w:styleId="Byline">
    <w:name w:val="Byline"/>
    <w:rsid w:val="00192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10E"/>
    <w:pPr>
      <w:tabs>
        <w:tab w:val="clear" w:pos="3600"/>
        <w:tab w:val="clear" w:pos="3958"/>
      </w:tabs>
      <w:jc w:val="right"/>
    </w:pPr>
  </w:style>
  <w:style w:type="character" w:styleId="Emphasis">
    <w:name w:val="Emphasis"/>
    <w:basedOn w:val="DefaultParagraphFont"/>
    <w:qFormat/>
    <w:rsid w:val="0019210E"/>
    <w:rPr>
      <w:i/>
    </w:rPr>
  </w:style>
  <w:style w:type="paragraph" w:styleId="Caption">
    <w:name w:val="caption"/>
    <w:basedOn w:val="BodyText"/>
    <w:next w:val="Normal"/>
    <w:qFormat/>
    <w:rsid w:val="0019210E"/>
    <w:pPr>
      <w:framePr w:w="2268" w:hSpace="181" w:vSpace="181" w:wrap="around" w:vAnchor="text" w:hAnchor="page" w:x="1135" w:y="285" w:anchorLock="1"/>
    </w:pPr>
    <w:rPr>
      <w:i/>
    </w:rPr>
  </w:style>
  <w:style w:type="paragraph" w:customStyle="1" w:styleId="MiniTOCTitle">
    <w:name w:val="MiniTOCTitle"/>
    <w:basedOn w:val="Heading4"/>
    <w:rsid w:val="0019210E"/>
    <w:pPr>
      <w:spacing w:before="240"/>
      <w:outlineLvl w:val="9"/>
    </w:pPr>
    <w:rPr>
      <w:noProof/>
      <w:sz w:val="24"/>
    </w:rPr>
  </w:style>
  <w:style w:type="paragraph" w:customStyle="1" w:styleId="MiniTOCItem">
    <w:name w:val="MiniTOCItem"/>
    <w:basedOn w:val="ListBullet"/>
    <w:rsid w:val="0019210E"/>
    <w:pPr>
      <w:numPr>
        <w:numId w:val="0"/>
      </w:numPr>
      <w:tabs>
        <w:tab w:val="right" w:leader="dot" w:pos="6521"/>
      </w:tabs>
      <w:spacing w:before="0" w:after="0"/>
    </w:pPr>
  </w:style>
  <w:style w:type="paragraph" w:customStyle="1" w:styleId="TOFTitle">
    <w:name w:val="TOFTitle"/>
    <w:basedOn w:val="TOCTitle"/>
    <w:rsid w:val="0019210E"/>
  </w:style>
  <w:style w:type="paragraph" w:styleId="TableofFigures">
    <w:name w:val="table of figures"/>
    <w:basedOn w:val="Normal"/>
    <w:next w:val="Normal"/>
    <w:semiHidden/>
    <w:rsid w:val="0019210E"/>
    <w:pPr>
      <w:tabs>
        <w:tab w:val="right" w:leader="dot" w:pos="9072"/>
      </w:tabs>
      <w:ind w:left="970" w:hanging="403"/>
    </w:pPr>
    <w:rPr>
      <w:rFonts w:ascii="Times New Roman" w:hAnsi="Times New Roman"/>
      <w:b/>
    </w:rPr>
  </w:style>
  <w:style w:type="paragraph" w:styleId="ListNumber">
    <w:name w:val="List Number"/>
    <w:basedOn w:val="List"/>
    <w:rsid w:val="0019210E"/>
    <w:pPr>
      <w:numPr>
        <w:numId w:val="16"/>
      </w:numPr>
      <w:tabs>
        <w:tab w:val="clear" w:pos="340"/>
      </w:tabs>
    </w:pPr>
  </w:style>
  <w:style w:type="character" w:customStyle="1" w:styleId="WingdingSymbols">
    <w:name w:val="Wingding Symbols"/>
    <w:rsid w:val="0019210E"/>
    <w:rPr>
      <w:rFonts w:ascii="Wingdings" w:hAnsi="Wingdings"/>
    </w:rPr>
  </w:style>
  <w:style w:type="paragraph" w:customStyle="1" w:styleId="TableHeading">
    <w:name w:val="Table Heading"/>
    <w:basedOn w:val="HeadingBase"/>
    <w:rsid w:val="0019210E"/>
    <w:pPr>
      <w:keepLines/>
      <w:pBdr>
        <w:bottom w:val="single" w:sz="6" w:space="1" w:color="918585"/>
      </w:pBdr>
      <w:spacing w:before="240"/>
    </w:pPr>
  </w:style>
  <w:style w:type="character" w:customStyle="1" w:styleId="HotSpot">
    <w:name w:val="HotSpot"/>
    <w:rsid w:val="0019210E"/>
    <w:rPr>
      <w:color w:val="0033CC"/>
      <w:u w:val="none"/>
    </w:rPr>
  </w:style>
  <w:style w:type="paragraph" w:customStyle="1" w:styleId="BodyTextRight">
    <w:name w:val="Body Text Right"/>
    <w:basedOn w:val="BodyText"/>
    <w:rsid w:val="0019210E"/>
    <w:pPr>
      <w:spacing w:before="0" w:after="0"/>
      <w:jc w:val="right"/>
    </w:pPr>
  </w:style>
  <w:style w:type="paragraph" w:styleId="Index3">
    <w:name w:val="index 3"/>
    <w:basedOn w:val="ListNumber2"/>
    <w:next w:val="Normal"/>
    <w:semiHidden/>
    <w:rsid w:val="0019210E"/>
    <w:pPr>
      <w:numPr>
        <w:numId w:val="0"/>
      </w:numPr>
      <w:tabs>
        <w:tab w:val="right" w:leader="dot" w:pos="4176"/>
      </w:tabs>
    </w:pPr>
  </w:style>
  <w:style w:type="paragraph" w:styleId="ListNumber2">
    <w:name w:val="List Number 2"/>
    <w:basedOn w:val="List2"/>
    <w:rsid w:val="0019210E"/>
    <w:pPr>
      <w:numPr>
        <w:numId w:val="11"/>
      </w:numPr>
      <w:tabs>
        <w:tab w:val="clear" w:pos="1060"/>
      </w:tabs>
    </w:pPr>
  </w:style>
  <w:style w:type="paragraph" w:customStyle="1" w:styleId="MarginNote">
    <w:name w:val="Margin Note"/>
    <w:basedOn w:val="BodyText"/>
    <w:rsid w:val="00192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1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10E"/>
    <w:rPr>
      <w:sz w:val="32"/>
    </w:rPr>
  </w:style>
  <w:style w:type="paragraph" w:customStyle="1" w:styleId="HeadingProcedure">
    <w:name w:val="Heading Procedure"/>
    <w:basedOn w:val="HeadingBase"/>
    <w:next w:val="Normal"/>
    <w:rsid w:val="0019210E"/>
    <w:pPr>
      <w:tabs>
        <w:tab w:val="left" w:pos="0"/>
      </w:tabs>
      <w:spacing w:before="120" w:after="60"/>
    </w:pPr>
    <w:rPr>
      <w:i/>
      <w:color w:val="918585"/>
      <w:sz w:val="22"/>
    </w:rPr>
  </w:style>
  <w:style w:type="paragraph" w:customStyle="1" w:styleId="TableBodyText">
    <w:name w:val="Table Body Text"/>
    <w:basedOn w:val="BodyText"/>
    <w:rsid w:val="0019210E"/>
    <w:pPr>
      <w:spacing w:before="60" w:after="60"/>
    </w:pPr>
  </w:style>
  <w:style w:type="paragraph" w:styleId="ListContinue">
    <w:name w:val="List Continue"/>
    <w:basedOn w:val="List"/>
    <w:rsid w:val="0019210E"/>
    <w:pPr>
      <w:ind w:firstLine="0"/>
    </w:pPr>
  </w:style>
  <w:style w:type="paragraph" w:customStyle="1" w:styleId="ListNote">
    <w:name w:val="List Note"/>
    <w:basedOn w:val="List"/>
    <w:rsid w:val="0019210E"/>
    <w:pPr>
      <w:pBdr>
        <w:top w:val="single" w:sz="6" w:space="2" w:color="918585"/>
        <w:bottom w:val="single" w:sz="6" w:space="2" w:color="918585"/>
      </w:pBdr>
      <w:tabs>
        <w:tab w:val="left" w:pos="1021"/>
      </w:tabs>
      <w:ind w:firstLine="0"/>
    </w:pPr>
  </w:style>
  <w:style w:type="paragraph" w:customStyle="1" w:styleId="Warning">
    <w:name w:val="Warning"/>
    <w:basedOn w:val="BodyText"/>
    <w:rsid w:val="0019210E"/>
    <w:pPr>
      <w:shd w:val="clear" w:color="auto" w:fill="D9D9D9"/>
      <w:tabs>
        <w:tab w:val="left" w:pos="992"/>
      </w:tabs>
      <w:ind w:left="119" w:right="119"/>
    </w:pPr>
    <w:rPr>
      <w:sz w:val="20"/>
    </w:rPr>
  </w:style>
  <w:style w:type="paragraph" w:customStyle="1" w:styleId="MarginIcons">
    <w:name w:val="Margin Icons"/>
    <w:basedOn w:val="BodyText"/>
    <w:rsid w:val="00192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10E"/>
    <w:rPr>
      <w:rFonts w:ascii="Courier New" w:hAnsi="Courier New"/>
    </w:rPr>
  </w:style>
  <w:style w:type="paragraph" w:customStyle="1" w:styleId="NoteBullet">
    <w:name w:val="Note Bullet"/>
    <w:basedOn w:val="Note"/>
    <w:rsid w:val="0019210E"/>
    <w:pPr>
      <w:tabs>
        <w:tab w:val="clear" w:pos="680"/>
      </w:tabs>
      <w:spacing w:before="60" w:after="60"/>
    </w:pPr>
  </w:style>
  <w:style w:type="paragraph" w:customStyle="1" w:styleId="SubHeading2">
    <w:name w:val="SubHeading2"/>
    <w:basedOn w:val="HeadingBase"/>
    <w:rsid w:val="0019210E"/>
    <w:pPr>
      <w:spacing w:before="240" w:after="60"/>
    </w:pPr>
    <w:rPr>
      <w:sz w:val="20"/>
    </w:rPr>
  </w:style>
  <w:style w:type="paragraph" w:customStyle="1" w:styleId="SubHeading1">
    <w:name w:val="SubHeading1"/>
    <w:basedOn w:val="HeadingBase"/>
    <w:rsid w:val="0019210E"/>
    <w:pPr>
      <w:spacing w:before="240" w:after="60"/>
    </w:pPr>
    <w:rPr>
      <w:color w:val="918585"/>
      <w:sz w:val="22"/>
    </w:rPr>
  </w:style>
  <w:style w:type="paragraph" w:customStyle="1" w:styleId="SideHeading">
    <w:name w:val="Side Heading"/>
    <w:basedOn w:val="HeadingBase"/>
    <w:rsid w:val="00192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10E"/>
    <w:pPr>
      <w:numPr>
        <w:numId w:val="12"/>
      </w:numPr>
    </w:pPr>
  </w:style>
  <w:style w:type="paragraph" w:styleId="PlainText">
    <w:name w:val="Plain Text"/>
    <w:basedOn w:val="Normal"/>
    <w:link w:val="PlainTextChar"/>
    <w:rsid w:val="0019210E"/>
    <w:rPr>
      <w:sz w:val="20"/>
    </w:rPr>
  </w:style>
  <w:style w:type="character" w:customStyle="1" w:styleId="PlainTextChar">
    <w:name w:val="Plain Text Char"/>
    <w:basedOn w:val="DefaultParagraphFont"/>
    <w:link w:val="PlainText"/>
    <w:rsid w:val="0019210E"/>
    <w:rPr>
      <w:rFonts w:ascii="Courier New" w:eastAsia="Times New Roman" w:hAnsi="Courier New" w:cs="Times New Roman"/>
      <w:sz w:val="20"/>
      <w:szCs w:val="20"/>
      <w:lang w:eastAsia="en-US"/>
    </w:rPr>
  </w:style>
  <w:style w:type="character" w:customStyle="1" w:styleId="MenuOption">
    <w:name w:val="Menu Option"/>
    <w:basedOn w:val="DefaultParagraphFont"/>
    <w:rsid w:val="0019210E"/>
    <w:rPr>
      <w:b/>
      <w:smallCaps/>
    </w:rPr>
  </w:style>
  <w:style w:type="paragraph" w:customStyle="1" w:styleId="TableListNumber">
    <w:name w:val="Table List Number"/>
    <w:basedOn w:val="ListNumber"/>
    <w:rsid w:val="0019210E"/>
    <w:pPr>
      <w:numPr>
        <w:numId w:val="0"/>
      </w:numPr>
    </w:pPr>
  </w:style>
  <w:style w:type="paragraph" w:styleId="TOC4">
    <w:name w:val="toc 4"/>
    <w:basedOn w:val="TOCBase"/>
    <w:next w:val="Normal"/>
    <w:semiHidden/>
    <w:rsid w:val="0019210E"/>
    <w:pPr>
      <w:tabs>
        <w:tab w:val="right" w:leader="dot" w:pos="9071"/>
      </w:tabs>
      <w:ind w:left="1701"/>
    </w:pPr>
  </w:style>
  <w:style w:type="paragraph" w:customStyle="1" w:styleId="ListAlpha">
    <w:name w:val="List Alpha"/>
    <w:basedOn w:val="List"/>
    <w:rsid w:val="0019210E"/>
    <w:pPr>
      <w:numPr>
        <w:numId w:val="10"/>
      </w:numPr>
    </w:pPr>
  </w:style>
  <w:style w:type="paragraph" w:customStyle="1" w:styleId="ListAlpha2">
    <w:name w:val="List Alpha 2"/>
    <w:basedOn w:val="List2"/>
    <w:rsid w:val="0019210E"/>
    <w:pPr>
      <w:numPr>
        <w:numId w:val="9"/>
      </w:numPr>
    </w:pPr>
  </w:style>
  <w:style w:type="paragraph" w:styleId="List2">
    <w:name w:val="List 2"/>
    <w:basedOn w:val="BodyText"/>
    <w:rsid w:val="0019210E"/>
    <w:pPr>
      <w:tabs>
        <w:tab w:val="left" w:pos="680"/>
      </w:tabs>
      <w:spacing w:before="60" w:after="60"/>
      <w:ind w:left="680" w:hanging="340"/>
    </w:pPr>
  </w:style>
  <w:style w:type="paragraph" w:styleId="List3">
    <w:name w:val="List 3"/>
    <w:basedOn w:val="BodyText"/>
    <w:rsid w:val="0019210E"/>
    <w:pPr>
      <w:tabs>
        <w:tab w:val="left" w:pos="1021"/>
      </w:tabs>
      <w:spacing w:before="60" w:after="60"/>
      <w:ind w:left="1020" w:hanging="340"/>
    </w:pPr>
  </w:style>
  <w:style w:type="paragraph" w:styleId="List4">
    <w:name w:val="List 4"/>
    <w:basedOn w:val="BodyText"/>
    <w:rsid w:val="0019210E"/>
    <w:pPr>
      <w:tabs>
        <w:tab w:val="left" w:pos="1361"/>
      </w:tabs>
      <w:spacing w:before="60" w:after="60"/>
      <w:ind w:left="1361" w:hanging="340"/>
    </w:pPr>
  </w:style>
  <w:style w:type="paragraph" w:styleId="List5">
    <w:name w:val="List 5"/>
    <w:basedOn w:val="BodyText"/>
    <w:rsid w:val="0019210E"/>
    <w:pPr>
      <w:tabs>
        <w:tab w:val="left" w:pos="1701"/>
      </w:tabs>
      <w:spacing w:before="60" w:after="60"/>
      <w:ind w:left="1701" w:hanging="340"/>
    </w:pPr>
  </w:style>
  <w:style w:type="paragraph" w:styleId="ListBullet4">
    <w:name w:val="List Bullet 4"/>
    <w:basedOn w:val="List4"/>
    <w:rsid w:val="0019210E"/>
    <w:pPr>
      <w:numPr>
        <w:numId w:val="4"/>
      </w:numPr>
      <w:tabs>
        <w:tab w:val="clear" w:pos="1361"/>
      </w:tabs>
    </w:pPr>
  </w:style>
  <w:style w:type="paragraph" w:styleId="ListBullet5">
    <w:name w:val="List Bullet 5"/>
    <w:basedOn w:val="List5"/>
    <w:rsid w:val="0019210E"/>
    <w:pPr>
      <w:numPr>
        <w:numId w:val="5"/>
      </w:numPr>
    </w:pPr>
  </w:style>
  <w:style w:type="paragraph" w:styleId="ListContinue2">
    <w:name w:val="List Continue 2"/>
    <w:basedOn w:val="List2"/>
    <w:rsid w:val="0019210E"/>
    <w:pPr>
      <w:ind w:firstLine="0"/>
    </w:pPr>
  </w:style>
  <w:style w:type="paragraph" w:styleId="ListContinue3">
    <w:name w:val="List Continue 3"/>
    <w:basedOn w:val="List3"/>
    <w:rsid w:val="0019210E"/>
    <w:pPr>
      <w:ind w:left="1021" w:firstLine="0"/>
    </w:pPr>
  </w:style>
  <w:style w:type="paragraph" w:styleId="ListContinue4">
    <w:name w:val="List Continue 4"/>
    <w:basedOn w:val="List4"/>
    <w:rsid w:val="0019210E"/>
    <w:pPr>
      <w:ind w:firstLine="0"/>
    </w:pPr>
  </w:style>
  <w:style w:type="paragraph" w:styleId="ListContinue5">
    <w:name w:val="List Continue 5"/>
    <w:basedOn w:val="List5"/>
    <w:rsid w:val="0019210E"/>
    <w:pPr>
      <w:ind w:firstLine="0"/>
    </w:pPr>
  </w:style>
  <w:style w:type="paragraph" w:styleId="ListNumber3">
    <w:name w:val="List Number 3"/>
    <w:basedOn w:val="List3"/>
    <w:rsid w:val="0019210E"/>
    <w:pPr>
      <w:numPr>
        <w:numId w:val="6"/>
      </w:numPr>
    </w:pPr>
  </w:style>
  <w:style w:type="paragraph" w:styleId="ListNumber4">
    <w:name w:val="List Number 4"/>
    <w:basedOn w:val="List4"/>
    <w:rsid w:val="0019210E"/>
    <w:pPr>
      <w:numPr>
        <w:numId w:val="7"/>
      </w:numPr>
    </w:pPr>
  </w:style>
  <w:style w:type="paragraph" w:styleId="ListNumber5">
    <w:name w:val="List Number 5"/>
    <w:basedOn w:val="List5"/>
    <w:rsid w:val="0019210E"/>
    <w:pPr>
      <w:numPr>
        <w:numId w:val="8"/>
      </w:numPr>
    </w:pPr>
  </w:style>
  <w:style w:type="paragraph" w:styleId="BlockText">
    <w:name w:val="Block Text"/>
    <w:basedOn w:val="Normal"/>
    <w:rsid w:val="0019210E"/>
    <w:pPr>
      <w:spacing w:after="120"/>
      <w:ind w:left="1440" w:right="1440"/>
    </w:pPr>
  </w:style>
  <w:style w:type="character" w:customStyle="1" w:styleId="Subscript">
    <w:name w:val="Subscript"/>
    <w:basedOn w:val="DefaultParagraphFont"/>
    <w:rsid w:val="0019210E"/>
    <w:rPr>
      <w:sz w:val="16"/>
      <w:vertAlign w:val="subscript"/>
    </w:rPr>
  </w:style>
  <w:style w:type="character" w:customStyle="1" w:styleId="Superscript">
    <w:name w:val="Superscript"/>
    <w:basedOn w:val="DefaultParagraphFont"/>
    <w:rsid w:val="0019210E"/>
    <w:rPr>
      <w:sz w:val="16"/>
      <w:vertAlign w:val="superscript"/>
    </w:rPr>
  </w:style>
  <w:style w:type="character" w:customStyle="1" w:styleId="Symbols">
    <w:name w:val="Symbols"/>
    <w:basedOn w:val="DefaultParagraphFont"/>
    <w:rsid w:val="0019210E"/>
    <w:rPr>
      <w:rFonts w:ascii="Symbol" w:hAnsi="Symbol"/>
    </w:rPr>
  </w:style>
  <w:style w:type="character" w:customStyle="1" w:styleId="MenuOptions">
    <w:name w:val="Menu Options"/>
    <w:basedOn w:val="DefaultParagraphFont"/>
    <w:rsid w:val="0019210E"/>
    <w:rPr>
      <w:rFonts w:ascii="Arial Narrow" w:hAnsi="Arial Narrow"/>
      <w:smallCaps/>
    </w:rPr>
  </w:style>
  <w:style w:type="character" w:customStyle="1" w:styleId="Buttons">
    <w:name w:val="Buttons"/>
    <w:basedOn w:val="DefaultParagraphFont"/>
    <w:rsid w:val="0019210E"/>
    <w:rPr>
      <w:b/>
    </w:rPr>
  </w:style>
  <w:style w:type="character" w:customStyle="1" w:styleId="Underlined">
    <w:name w:val="Underlined"/>
    <w:basedOn w:val="DefaultParagraphFont"/>
    <w:rsid w:val="0019210E"/>
    <w:rPr>
      <w:u w:val="single"/>
    </w:rPr>
  </w:style>
  <w:style w:type="paragraph" w:customStyle="1" w:styleId="TableBodyTextRight">
    <w:name w:val="Table Body Text Right"/>
    <w:basedOn w:val="TableBodyText"/>
    <w:rsid w:val="0019210E"/>
    <w:pPr>
      <w:widowControl w:val="0"/>
      <w:autoSpaceDE w:val="0"/>
      <w:autoSpaceDN w:val="0"/>
      <w:adjustRightInd w:val="0"/>
      <w:jc w:val="right"/>
    </w:pPr>
    <w:rPr>
      <w:rFonts w:cs="Arial"/>
      <w:szCs w:val="18"/>
    </w:rPr>
  </w:style>
  <w:style w:type="paragraph" w:customStyle="1" w:styleId="CopyrightText">
    <w:name w:val="Copyright Text"/>
    <w:basedOn w:val="BodyText"/>
    <w:rsid w:val="0019210E"/>
    <w:rPr>
      <w:sz w:val="18"/>
    </w:rPr>
  </w:style>
  <w:style w:type="paragraph" w:customStyle="1" w:styleId="BodySmallRight">
    <w:name w:val="Body Small Right"/>
    <w:basedOn w:val="BodyTextRight"/>
    <w:rsid w:val="0019210E"/>
    <w:rPr>
      <w:sz w:val="18"/>
      <w:szCs w:val="18"/>
    </w:rPr>
  </w:style>
  <w:style w:type="paragraph" w:customStyle="1" w:styleId="MarginEdition">
    <w:name w:val="Margin Edition"/>
    <w:basedOn w:val="MarginNote"/>
    <w:rsid w:val="0019210E"/>
    <w:pPr>
      <w:spacing w:before="0" w:after="0"/>
    </w:pPr>
    <w:rPr>
      <w:rFonts w:ascii="Times New Roman" w:hAnsi="Times New Roman"/>
      <w:color w:val="999999"/>
    </w:rPr>
  </w:style>
  <w:style w:type="paragraph" w:customStyle="1" w:styleId="Spacer">
    <w:name w:val="Spacer"/>
    <w:basedOn w:val="Normal"/>
    <w:rsid w:val="0019210E"/>
    <w:rPr>
      <w:sz w:val="2"/>
      <w:szCs w:val="2"/>
    </w:rPr>
  </w:style>
  <w:style w:type="character" w:customStyle="1" w:styleId="Small">
    <w:name w:val="Small"/>
    <w:basedOn w:val="DefaultParagraphFont"/>
    <w:rsid w:val="0019210E"/>
    <w:rPr>
      <w:sz w:val="16"/>
    </w:rPr>
  </w:style>
  <w:style w:type="paragraph" w:customStyle="1" w:styleId="WideTable">
    <w:name w:val="Wide Table"/>
    <w:basedOn w:val="Normal"/>
    <w:rsid w:val="0019210E"/>
    <w:pPr>
      <w:ind w:left="-1418"/>
    </w:pPr>
    <w:rPr>
      <w:sz w:val="2"/>
      <w:szCs w:val="2"/>
    </w:rPr>
  </w:style>
  <w:style w:type="character" w:styleId="PageNumber">
    <w:name w:val="page number"/>
    <w:basedOn w:val="DefaultParagraphFont"/>
    <w:rsid w:val="0019210E"/>
  </w:style>
  <w:style w:type="paragraph" w:styleId="Quote">
    <w:name w:val="Quote"/>
    <w:basedOn w:val="Heading1"/>
    <w:link w:val="QuoteChar"/>
    <w:qFormat/>
    <w:rsid w:val="0019210E"/>
    <w:rPr>
      <w:b w:val="0"/>
      <w:sz w:val="72"/>
      <w:szCs w:val="72"/>
      <w:lang w:val="en-NZ"/>
    </w:rPr>
  </w:style>
  <w:style w:type="character" w:customStyle="1" w:styleId="QuoteChar">
    <w:name w:val="Quote Char"/>
    <w:basedOn w:val="DefaultParagraphFont"/>
    <w:link w:val="Quote"/>
    <w:rsid w:val="00192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10E"/>
    <w:pPr>
      <w:pageBreakBefore/>
    </w:pPr>
  </w:style>
  <w:style w:type="paragraph" w:customStyle="1" w:styleId="Border">
    <w:name w:val="Border"/>
    <w:basedOn w:val="Normal"/>
    <w:qFormat/>
    <w:rsid w:val="00192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10E"/>
    <w:rPr>
      <w:b/>
      <w:bCs/>
      <w:i/>
      <w:iCs/>
      <w:color w:val="auto"/>
    </w:rPr>
  </w:style>
  <w:style w:type="paragraph" w:styleId="IntenseQuote">
    <w:name w:val="Intense Quote"/>
    <w:basedOn w:val="Normal"/>
    <w:next w:val="Normal"/>
    <w:link w:val="IntenseQuoteChar"/>
    <w:uiPriority w:val="30"/>
    <w:qFormat/>
    <w:rsid w:val="00192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1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10E"/>
    <w:rPr>
      <w:smallCaps/>
      <w:color w:val="auto"/>
      <w:u w:val="single"/>
    </w:rPr>
  </w:style>
  <w:style w:type="character" w:styleId="IntenseReference">
    <w:name w:val="Intense Reference"/>
    <w:basedOn w:val="DefaultParagraphFont"/>
    <w:uiPriority w:val="32"/>
    <w:qFormat/>
    <w:rsid w:val="0019210E"/>
    <w:rPr>
      <w:b/>
      <w:bCs/>
      <w:smallCaps/>
      <w:color w:val="auto"/>
      <w:spacing w:val="5"/>
      <w:u w:val="single"/>
    </w:rPr>
  </w:style>
  <w:style w:type="paragraph" w:customStyle="1" w:styleId="2ColumnHeading">
    <w:name w:val="2Column Heading"/>
    <w:basedOn w:val="BodyText"/>
    <w:qFormat/>
    <w:rsid w:val="0019210E"/>
    <w:pPr>
      <w:spacing w:after="60"/>
      <w:ind w:left="-2268"/>
    </w:pPr>
    <w:rPr>
      <w:b/>
    </w:rPr>
  </w:style>
  <w:style w:type="paragraph" w:customStyle="1" w:styleId="Heading1TOC">
    <w:name w:val="Heading1 TOC"/>
    <w:basedOn w:val="Normal"/>
    <w:qFormat/>
    <w:rsid w:val="0019210E"/>
    <w:pPr>
      <w:spacing w:before="240" w:after="120"/>
    </w:pPr>
    <w:rPr>
      <w:rFonts w:ascii="Times New Roman" w:hAnsi="Times New Roman"/>
      <w:b/>
      <w:sz w:val="32"/>
    </w:rPr>
  </w:style>
  <w:style w:type="paragraph" w:customStyle="1" w:styleId="Heading2TOC">
    <w:name w:val="Heading2 TOC"/>
    <w:basedOn w:val="Normal"/>
    <w:qFormat/>
    <w:rsid w:val="0019210E"/>
    <w:pPr>
      <w:spacing w:before="240" w:after="60"/>
    </w:pPr>
    <w:rPr>
      <w:rFonts w:ascii="Times New Roman" w:hAnsi="Times New Roman"/>
      <w:b/>
      <w:sz w:val="28"/>
    </w:rPr>
  </w:style>
  <w:style w:type="character" w:customStyle="1" w:styleId="Underline">
    <w:name w:val="Underline"/>
    <w:basedOn w:val="DefaultParagraphFont"/>
    <w:qFormat/>
    <w:rsid w:val="0019210E"/>
    <w:rPr>
      <w:u w:val="single"/>
    </w:rPr>
  </w:style>
  <w:style w:type="paragraph" w:styleId="BalloonText">
    <w:name w:val="Balloon Text"/>
    <w:basedOn w:val="Normal"/>
    <w:link w:val="BalloonTextChar"/>
    <w:rsid w:val="0019210E"/>
    <w:rPr>
      <w:rFonts w:ascii="Tahoma" w:hAnsi="Tahoma" w:cs="Tahoma"/>
      <w:sz w:val="16"/>
      <w:szCs w:val="16"/>
    </w:rPr>
  </w:style>
  <w:style w:type="character" w:customStyle="1" w:styleId="BalloonTextChar">
    <w:name w:val="Balloon Text Char"/>
    <w:basedOn w:val="DefaultParagraphFont"/>
    <w:link w:val="BalloonText"/>
    <w:rsid w:val="001921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1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1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10E"/>
    <w:rPr>
      <w:b/>
      <w:color w:val="660033"/>
      <w:spacing w:val="0"/>
    </w:rPr>
  </w:style>
  <w:style w:type="paragraph" w:customStyle="1" w:styleId="Nameditemlist">
    <w:name w:val="Named item list"/>
    <w:basedOn w:val="BodyText"/>
    <w:qFormat/>
    <w:rsid w:val="0019210E"/>
    <w:pPr>
      <w:tabs>
        <w:tab w:val="left" w:pos="2835"/>
      </w:tabs>
      <w:ind w:left="2835" w:hanging="2835"/>
    </w:pPr>
  </w:style>
  <w:style w:type="paragraph" w:customStyle="1" w:styleId="BodyTextnopadding">
    <w:name w:val="Body Text no padding"/>
    <w:basedOn w:val="BodyText"/>
    <w:qFormat/>
    <w:rsid w:val="0019210E"/>
    <w:pPr>
      <w:spacing w:before="0" w:after="0"/>
    </w:pPr>
  </w:style>
  <w:style w:type="paragraph" w:customStyle="1" w:styleId="BodyTextBold">
    <w:name w:val="Body Text Bold"/>
    <w:basedOn w:val="BodyText"/>
    <w:qFormat/>
    <w:rsid w:val="0019210E"/>
    <w:rPr>
      <w:b/>
    </w:rPr>
  </w:style>
  <w:style w:type="character" w:styleId="Hyperlink">
    <w:name w:val="Hyperlink"/>
    <w:basedOn w:val="DefaultParagraphFont"/>
    <w:uiPriority w:val="99"/>
    <w:unhideWhenUsed/>
    <w:rsid w:val="00561E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1560</Words>
  <Characters>10052</Characters>
  <Application>Microsoft Office Word</Application>
  <DocSecurity>0</DocSecurity>
  <Lines>372</Lines>
  <Paragraphs>236</Paragraphs>
  <ScaleCrop>false</ScaleCrop>
  <Company>Author-it Software Corporation Ltd.</Company>
  <LinksUpToDate>false</LinksUpToDate>
  <CharactersWithSpaces>11376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CPPBDN4009 Analyse building design drawings and review findings</dc:title>
  <dc:subject>Approved</dc:subject>
  <dc:creator>BuildSkills Australia</dc:creator>
  <cp:keywords>Release: 1</cp:keywords>
  <dc:description>Review Date: 12 April 2008</dc:description>
  <cp:lastModifiedBy>HSD_TPCMSd.prod</cp:lastModifiedBy>
  <cp:revision>3</cp:revision>
  <dcterms:created xsi:type="dcterms:W3CDTF">2025-03-01T14:59:00Z</dcterms:created>
  <dcterms:modified xsi:type="dcterms:W3CDTF">2025-03-01T14:59:00Z</dcterms:modified>
</cp:coreProperties>
</file>