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51C" w:rsidP="0022451C">
      <w:pPr>
        <w:pStyle w:val="Title"/>
      </w:pPr>
      <w:r>
        <w:fldChar w:fldCharType="begin"/>
      </w:r>
      <w:r>
        <w:instrText xml:space="preserve"> TITLE   \* MERGEFORMAT </w:instrText>
      </w:r>
      <w:r>
        <w:fldChar w:fldCharType="separate"/>
      </w:r>
      <w:r>
        <w:t>CPPBDN4002 Research and apply compliance requirements to technical construction documentation</w:t>
      </w:r>
      <w:r>
        <w:fldChar w:fldCharType="end"/>
      </w:r>
    </w:p>
    <w:p w:rsidR="0022451C" w:rsidP="0022451C">
      <w:pPr>
        <w:pStyle w:val="Version"/>
        <w:sectPr w:rsidSect="00456F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FFC" w:rsidP="00456FFC">
      <w:pPr>
        <w:pStyle w:val="SuperHeading"/>
      </w:pPr>
      <w:r w:rsidRPr="00456FFC">
        <w:t>CPPBDN4002 Research and apply compliance requirements to technical construction documentation</w:t>
      </w:r>
    </w:p>
    <w:p w:rsidR="00000000" w:rsidRPr="00456FFC" w:rsidP="00456FFC">
      <w:pPr>
        <w:pStyle w:val="Heading1"/>
      </w:pPr>
      <w:bookmarkStart w:id="1" w:name="O_660822"/>
      <w:bookmarkEnd w:id="1"/>
      <w:r w:rsidRPr="00456FFC">
        <w:t>Modification History</w:t>
      </w:r>
    </w:p>
    <w:p w:rsidR="00000000" w:rsidRPr="00456FFC" w:rsidP="0022451C">
      <w:pPr>
        <w:pStyle w:val="BodyText"/>
      </w:pPr>
      <w:r w:rsidRPr="00456FFC">
        <w:t>Release 1.  New unit.</w:t>
      </w:r>
    </w:p>
    <w:p w:rsidR="00000000" w:rsidRPr="00456FFC" w:rsidP="0022451C">
      <w:pPr>
        <w:pStyle w:val="BodyText"/>
      </w:pPr>
      <w:r w:rsidRPr="00456FFC">
        <w:t>This version first released with CPP Property Services Training Package Version 1.</w:t>
      </w:r>
    </w:p>
    <w:p w:rsidR="00000000" w:rsidRPr="00456FFC" w:rsidP="00456FFC">
      <w:pPr>
        <w:pStyle w:val="Heading1"/>
      </w:pPr>
      <w:bookmarkStart w:id="2" w:name="O_660823"/>
      <w:bookmarkEnd w:id="2"/>
      <w:r w:rsidRPr="00456FFC">
        <w:t>Application</w:t>
      </w:r>
    </w:p>
    <w:p w:rsidR="00000000" w:rsidRPr="00456FFC" w:rsidP="0022451C">
      <w:pPr>
        <w:pStyle w:val="BodyText"/>
      </w:pPr>
      <w:r w:rsidRPr="00456FFC">
        <w:t xml:space="preserve">This unit of competency specifies the outcomes required to research and apply compliance requirements to building design documentation for residential, commercial and industrial buildings, as defined in the Building Code of Australia (BCA). </w:t>
      </w:r>
    </w:p>
    <w:p w:rsidR="00000000" w:rsidRPr="00456FFC" w:rsidP="0022451C">
      <w:pPr>
        <w:pStyle w:val="BodyText"/>
      </w:pPr>
      <w:r w:rsidRPr="00456FFC">
        <w:t>T</w:t>
      </w:r>
      <w:r w:rsidRPr="00456FFC">
        <w:t>he unit applies to additions and renovations to a range of different types of new buildings and existing structures. It supports drafters who assist, and work under the supervision and instruction of an architect or building designer; and who take responsi</w:t>
      </w:r>
      <w:r w:rsidRPr="00456FFC">
        <w:t>bility, at the level appropriate to their role, for ensuring that building design documentation complies with current and relevant legislation, codes and standards, including the National Construction Code (NCC) and local authority planning schemes.</w:t>
      </w:r>
    </w:p>
    <w:p w:rsidR="00000000" w:rsidRPr="00456FFC" w:rsidP="0022451C">
      <w:pPr>
        <w:pStyle w:val="BodyText"/>
      </w:pPr>
      <w:r w:rsidRPr="00456FFC">
        <w:t>Licen</w:t>
      </w:r>
      <w:r w:rsidRPr="00456FFC">
        <w:t>sing, legislative, regulatory or certification requirements apply to building design drafting in some states. Relevant state and territory regulatory authorities should be consulted to confirm those requirements.</w:t>
      </w:r>
    </w:p>
    <w:p w:rsidR="00000000" w:rsidRPr="00456FFC" w:rsidP="00456FFC">
      <w:pPr>
        <w:pStyle w:val="Heading1"/>
      </w:pPr>
      <w:bookmarkStart w:id="3" w:name="O_660824"/>
      <w:bookmarkEnd w:id="3"/>
      <w:r w:rsidRPr="00456FFC">
        <w:t>Pre-requisite Unit</w:t>
      </w:r>
    </w:p>
    <w:p w:rsidR="00000000" w:rsidRPr="00456FFC" w:rsidP="0022451C">
      <w:pPr>
        <w:pStyle w:val="BodyText"/>
      </w:pPr>
      <w:r w:rsidRPr="00456FFC">
        <w:t>Nil</w:t>
      </w:r>
    </w:p>
    <w:p w:rsidR="00000000" w:rsidRPr="00456FFC" w:rsidP="00456FFC">
      <w:pPr>
        <w:pStyle w:val="Heading1"/>
      </w:pPr>
      <w:bookmarkStart w:id="4" w:name="O_660825"/>
      <w:bookmarkEnd w:id="4"/>
      <w:r w:rsidRPr="00456FFC">
        <w:t>Competency Field</w:t>
      </w:r>
    </w:p>
    <w:p w:rsidR="00000000" w:rsidRPr="00456FFC" w:rsidP="0022451C">
      <w:pPr>
        <w:pStyle w:val="BodyText"/>
      </w:pPr>
      <w:r w:rsidRPr="00456FFC">
        <w:t>Drafting</w:t>
      </w:r>
    </w:p>
    <w:p w:rsidR="00000000" w:rsidRPr="00456FFC" w:rsidP="00456FFC">
      <w:pPr>
        <w:pStyle w:val="Heading1"/>
      </w:pPr>
      <w:bookmarkStart w:id="5" w:name="O_660826"/>
      <w:bookmarkEnd w:id="5"/>
      <w:r w:rsidRPr="00456FFC">
        <w:t>Unit Sector</w:t>
      </w:r>
    </w:p>
    <w:p w:rsidR="00000000" w:rsidRPr="00456FFC" w:rsidP="0022451C">
      <w:pPr>
        <w:pStyle w:val="BodyText"/>
      </w:pPr>
      <w:r w:rsidRPr="00456FFC">
        <w:t>Building design</w:t>
      </w:r>
    </w:p>
    <w:p w:rsidR="00000000" w:rsidRPr="00456FFC" w:rsidP="00456FFC">
      <w:pPr>
        <w:pStyle w:val="Heading1"/>
      </w:pPr>
      <w:bookmarkStart w:id="6" w:name="O_660827"/>
      <w:bookmarkEnd w:id="6"/>
      <w:r w:rsidRPr="00456FF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56FF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Performance criteria describe the performance needed to demonstrate achieveme</w:t>
            </w:r>
            <w:r w:rsidRPr="00456FFC">
              <w:t xml:space="preserve">nt of the element. Where bold italicised </w:t>
            </w:r>
            <w:r w:rsidRPr="00456FFC">
              <w:t>text is used, further information is detailed in the range of conditions.</w:t>
            </w:r>
          </w:p>
        </w:tc>
      </w:tr>
      <w:tr w:rsidTr="00456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1.</w:t>
            </w:r>
          </w:p>
        </w:tc>
        <w:tc>
          <w:tcPr>
            <w:tcW w:w="1962" w:type="dxa"/>
            <w:vMerge w:val="restart"/>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Research building design project compliance requirements.</w:t>
            </w:r>
          </w:p>
        </w:tc>
        <w:tc>
          <w:tcPr>
            <w:tcW w:w="770" w:type="dxa"/>
            <w:tcBorders>
              <w:top w:val="nil"/>
              <w:left w:val="nil"/>
              <w:bottom w:val="nil"/>
              <w:right w:val="nil"/>
            </w:tcBorders>
            <w:tcMar>
              <w:top w:w="0" w:type="dxa"/>
              <w:left w:w="62" w:type="dxa"/>
              <w:bottom w:w="0" w:type="dxa"/>
              <w:right w:w="62" w:type="dxa"/>
            </w:tcMar>
          </w:tcPr>
          <w:p w:rsidR="00000000" w:rsidRPr="00456FFC" w:rsidP="00456FFC">
            <w:pPr>
              <w:pStyle w:val="BodyText"/>
            </w:pPr>
            <w:r w:rsidRPr="00456FFC">
              <w:t>1.1.</w:t>
            </w:r>
          </w:p>
        </w:tc>
        <w:tc>
          <w:tcPr>
            <w:tcW w:w="561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rPr>
                <w:rStyle w:val="BoldandItalics"/>
              </w:rPr>
              <w:t>Legislation, codes and standards</w:t>
            </w:r>
            <w:r w:rsidRPr="00456FFC">
              <w:t xml:space="preserve"> relating to the compliance of specific building design project are accessed, and variations in requirements are interpreted and noted.</w:t>
            </w:r>
          </w:p>
        </w:tc>
      </w:tr>
      <w:tr w:rsidTr="00456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56FFC" w:rsidP="00456FFC">
            <w:pPr>
              <w:pStyle w:val="BodyText"/>
            </w:pPr>
            <w:r w:rsidRPr="00456FFC">
              <w:t>1.2.</w:t>
            </w:r>
          </w:p>
        </w:tc>
        <w:tc>
          <w:tcPr>
            <w:tcW w:w="561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rPr>
                <w:rStyle w:val="BoldandItalics"/>
              </w:rPr>
              <w:t>Compliance requirements</w:t>
            </w:r>
            <w:r w:rsidRPr="00456FFC">
              <w:t xml:space="preserve"> for designs in different project locations and different conditions are researched, and </w:t>
            </w:r>
            <w:r w:rsidRPr="00456FFC">
              <w:t>variations in requirements are interpreted and noted.</w:t>
            </w:r>
          </w:p>
        </w:tc>
      </w:tr>
      <w:tr w:rsidTr="00456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1.3.</w:t>
            </w:r>
          </w:p>
        </w:tc>
        <w:tc>
          <w:tcPr>
            <w:tcW w:w="561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Research findings are recorded, filed and regularly updated according to workplace procedures.</w:t>
            </w:r>
          </w:p>
        </w:tc>
      </w:tr>
      <w:tr w:rsidTr="00456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2.</w:t>
            </w:r>
          </w:p>
        </w:tc>
        <w:tc>
          <w:tcPr>
            <w:tcW w:w="1962" w:type="dxa"/>
            <w:vMerge w:val="restart"/>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Analyse and interpret implications of compliance requirements.</w:t>
            </w:r>
          </w:p>
        </w:tc>
        <w:tc>
          <w:tcPr>
            <w:tcW w:w="77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2.1.</w:t>
            </w:r>
          </w:p>
        </w:tc>
        <w:tc>
          <w:tcPr>
            <w:tcW w:w="561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Ambiguous and conflicting compliance requirements are clarified with relevant professionals.</w:t>
            </w:r>
          </w:p>
        </w:tc>
      </w:tr>
      <w:tr w:rsidTr="00456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56FFC" w:rsidP="00456FFC">
            <w:pPr>
              <w:pStyle w:val="BodyText"/>
            </w:pPr>
            <w:r w:rsidRPr="00456FFC">
              <w:t>2.2.</w:t>
            </w:r>
          </w:p>
        </w:tc>
        <w:tc>
          <w:tcPr>
            <w:tcW w:w="561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rPr>
                <w:rStyle w:val="BoldandItalics"/>
              </w:rPr>
              <w:t>Constraints</w:t>
            </w:r>
            <w:r w:rsidRPr="00456FFC">
              <w:t xml:space="preserve"> placed on design options due to compliance requirements are identified and discussed with the designer.</w:t>
            </w:r>
          </w:p>
        </w:tc>
      </w:tr>
      <w:tr w:rsidTr="00456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2.3.</w:t>
            </w:r>
          </w:p>
        </w:tc>
        <w:tc>
          <w:tcPr>
            <w:tcW w:w="561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Potential exemptions from compliance with relevant codes are investigated and discussed with designer, and appropriate course of action is noted.</w:t>
            </w:r>
          </w:p>
        </w:tc>
      </w:tr>
      <w:tr w:rsidTr="00456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2.4.</w:t>
            </w:r>
          </w:p>
        </w:tc>
        <w:tc>
          <w:tcPr>
            <w:tcW w:w="561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Processes for obtaining an exemption are identified and actioned as required.</w:t>
            </w:r>
          </w:p>
        </w:tc>
      </w:tr>
      <w:tr w:rsidTr="00456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3.</w:t>
            </w:r>
          </w:p>
        </w:tc>
        <w:tc>
          <w:tcPr>
            <w:tcW w:w="1962" w:type="dxa"/>
            <w:vMerge w:val="restart"/>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Review and action co</w:t>
            </w:r>
            <w:r w:rsidRPr="00456FFC">
              <w:t>mpliance requirements.</w:t>
            </w:r>
          </w:p>
        </w:tc>
        <w:tc>
          <w:tcPr>
            <w:tcW w:w="77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3.1.</w:t>
            </w:r>
          </w:p>
        </w:tc>
        <w:tc>
          <w:tcPr>
            <w:tcW w:w="561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Technical construction documentation is reviewed for compliance with relevant legislation, codes and standards according to designer’s instructions.</w:t>
            </w:r>
          </w:p>
        </w:tc>
      </w:tr>
      <w:tr w:rsidTr="00456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3.2.</w:t>
            </w:r>
          </w:p>
        </w:tc>
        <w:tc>
          <w:tcPr>
            <w:tcW w:w="561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Non-compliance issues are noted and discussed with designer and required amendments are identified.</w:t>
            </w:r>
          </w:p>
        </w:tc>
      </w:tr>
      <w:tr w:rsidTr="00456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3.3.</w:t>
            </w:r>
          </w:p>
        </w:tc>
        <w:tc>
          <w:tcPr>
            <w:tcW w:w="5610" w:type="dxa"/>
            <w:tcBorders>
              <w:top w:val="nil"/>
              <w:left w:val="nil"/>
              <w:bottom w:val="nil"/>
              <w:right w:val="nil"/>
            </w:tcBorders>
            <w:tcMar>
              <w:top w:w="0" w:type="dxa"/>
              <w:left w:w="62" w:type="dxa"/>
              <w:bottom w:w="0" w:type="dxa"/>
              <w:right w:w="62" w:type="dxa"/>
            </w:tcMar>
          </w:tcPr>
          <w:p w:rsidR="00000000" w:rsidRPr="00456FFC" w:rsidP="00456FFC">
            <w:pPr>
              <w:pStyle w:val="BodyText"/>
            </w:pPr>
            <w:r w:rsidRPr="00456FFC">
              <w:t>Amendments or modifications to plans and technical documentation are made to ensure compliance with relevant legislation, codes and standards.</w:t>
            </w:r>
          </w:p>
        </w:tc>
      </w:tr>
    </w:tbl>
    <w:p w:rsidR="00000000" w:rsidRPr="00456FFC" w:rsidP="00456FFC">
      <w:pPr>
        <w:pStyle w:val="BodyText"/>
      </w:pPr>
    </w:p>
    <w:p w:rsidR="00000000" w:rsidRPr="00456FFC" w:rsidP="00456FFC">
      <w:pPr>
        <w:pStyle w:val="AllowPageBreak"/>
      </w:pPr>
    </w:p>
    <w:p w:rsidR="00000000" w:rsidRPr="00456FFC" w:rsidP="00456FFC">
      <w:pPr>
        <w:pStyle w:val="Heading1"/>
      </w:pPr>
      <w:bookmarkStart w:id="7" w:name="O_660828"/>
      <w:bookmarkEnd w:id="7"/>
      <w:r w:rsidRPr="00456FFC">
        <w:t>Foundation Skills</w:t>
      </w:r>
    </w:p>
    <w:tbl>
      <w:tblPr>
        <w:tblW w:w="0" w:type="auto"/>
        <w:tblCellMar>
          <w:left w:w="62" w:type="dxa"/>
          <w:right w:w="62" w:type="dxa"/>
        </w:tblCellMar>
        <w:tblLook w:val="0000"/>
      </w:tblPr>
      <w:tblGrid>
        <w:gridCol w:w="2163"/>
        <w:gridCol w:w="7033"/>
      </w:tblGrid>
      <w:tr w:rsidTr="002245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This section describes core skills that are essential to performance and not explicit in the performance criteria.  Employment skills essential to performance are explicit in the performance criteria of this unit of competen</w:t>
            </w:r>
            <w:r w:rsidRPr="00456FFC">
              <w:t>cy.</w:t>
            </w:r>
          </w:p>
        </w:tc>
      </w:tr>
      <w:tr w:rsidTr="002245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6FFC" w:rsidP="00456FFC">
            <w:pPr>
              <w:pStyle w:val="BodyText"/>
            </w:pPr>
            <w:r w:rsidRPr="00456FFC">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rPr>
                <w:rStyle w:val="SpecialBold"/>
              </w:rPr>
              <w:t>Performance feature</w:t>
            </w:r>
          </w:p>
        </w:tc>
      </w:tr>
      <w:tr w:rsidTr="002245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Learning skills to:</w:t>
            </w:r>
          </w:p>
        </w:tc>
        <w:tc>
          <w:tcPr>
            <w:tcW w:w="0" w:type="auto"/>
            <w:tcBorders>
              <w:top w:val="nil"/>
              <w:left w:val="nil"/>
              <w:bottom w:val="nil"/>
              <w:right w:val="nil"/>
            </w:tcBorders>
            <w:tcMar>
              <w:top w:w="0" w:type="dxa"/>
              <w:left w:w="62" w:type="dxa"/>
              <w:bottom w:w="0" w:type="dxa"/>
              <w:right w:w="62" w:type="dxa"/>
            </w:tcMar>
          </w:tcPr>
          <w:p w:rsidR="00000000" w:rsidRPr="00456FFC" w:rsidP="00456FFC">
            <w:pPr>
              <w:pStyle w:val="ListBullet"/>
            </w:pPr>
            <w:r w:rsidRPr="00456FFC">
              <w:t>access a range of resources, information and support, including the BCA, to assist in developing own understanding of compliance requirements relating to construction documentation</w:t>
            </w:r>
          </w:p>
          <w:p w:rsidR="00000000" w:rsidP="00456FFC">
            <w:pPr>
              <w:pStyle w:val="ListBullet"/>
              <w:rPr>
                <w:lang w:val="en-NZ"/>
              </w:rPr>
            </w:pPr>
            <w:r w:rsidRPr="00456FFC">
              <w:t>draw on experience in compliance research and apply to analysis of different building design projects.</w:t>
            </w:r>
          </w:p>
        </w:tc>
      </w:tr>
      <w:tr w:rsidTr="002245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Numeracy skills to:</w:t>
            </w:r>
          </w:p>
        </w:tc>
        <w:tc>
          <w:tcPr>
            <w:tcW w:w="0" w:type="auto"/>
            <w:tcBorders>
              <w:top w:val="nil"/>
              <w:left w:val="nil"/>
              <w:bottom w:val="nil"/>
              <w:right w:val="nil"/>
            </w:tcBorders>
            <w:tcMar>
              <w:top w:w="0" w:type="dxa"/>
              <w:left w:w="62" w:type="dxa"/>
              <w:bottom w:w="0" w:type="dxa"/>
              <w:right w:w="62" w:type="dxa"/>
            </w:tcMar>
          </w:tcPr>
          <w:p w:rsidR="00000000" w:rsidP="00456FFC">
            <w:pPr>
              <w:pStyle w:val="ListBullet"/>
              <w:rPr>
                <w:lang w:val="en-NZ"/>
              </w:rPr>
            </w:pPr>
            <w:r w:rsidRPr="00456FFC">
              <w:t>interpret and apply information from technical drawings and reports, including ratios, scales and scale conversions.</w:t>
            </w:r>
          </w:p>
        </w:tc>
      </w:tr>
      <w:tr w:rsidTr="002245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Oral communic</w:t>
            </w:r>
            <w:r w:rsidRPr="00456FFC">
              <w:t>ation skills to:</w:t>
            </w:r>
          </w:p>
        </w:tc>
        <w:tc>
          <w:tcPr>
            <w:tcW w:w="0" w:type="auto"/>
            <w:tcBorders>
              <w:top w:val="nil"/>
              <w:left w:val="nil"/>
              <w:bottom w:val="nil"/>
              <w:right w:val="nil"/>
            </w:tcBorders>
            <w:tcMar>
              <w:top w:w="0" w:type="dxa"/>
              <w:left w:w="62" w:type="dxa"/>
              <w:bottom w:w="0" w:type="dxa"/>
              <w:right w:w="62" w:type="dxa"/>
            </w:tcMar>
          </w:tcPr>
          <w:p w:rsidR="00000000" w:rsidP="00456FFC">
            <w:pPr>
              <w:pStyle w:val="ListBullet"/>
              <w:rPr>
                <w:lang w:val="en-NZ"/>
              </w:rPr>
            </w:pPr>
            <w:r w:rsidRPr="00456FFC">
              <w:t>participate in discussions in the workplace and with external specialists using specialised vocabulary relating to compliance.</w:t>
            </w:r>
          </w:p>
        </w:tc>
      </w:tr>
      <w:tr w:rsidTr="002245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Reading skills to:</w:t>
            </w:r>
          </w:p>
        </w:tc>
        <w:tc>
          <w:tcPr>
            <w:tcW w:w="0" w:type="auto"/>
            <w:tcBorders>
              <w:top w:val="nil"/>
              <w:left w:val="nil"/>
              <w:bottom w:val="nil"/>
              <w:right w:val="nil"/>
            </w:tcBorders>
            <w:tcMar>
              <w:top w:w="0" w:type="dxa"/>
              <w:left w:w="62" w:type="dxa"/>
              <w:bottom w:w="0" w:type="dxa"/>
              <w:right w:w="62" w:type="dxa"/>
            </w:tcMar>
          </w:tcPr>
          <w:p w:rsidR="00000000" w:rsidRPr="00456FFC" w:rsidP="00456FFC">
            <w:pPr>
              <w:pStyle w:val="ListBullet"/>
            </w:pPr>
            <w:r w:rsidRPr="00456FFC">
              <w:t>understand specialised vocabulary and acronyms specific to technical documentation used in</w:t>
            </w:r>
            <w:r w:rsidRPr="00456FFC">
              <w:t xml:space="preserve"> building design projects</w:t>
            </w:r>
          </w:p>
          <w:p w:rsidR="00000000" w:rsidP="00456FFC">
            <w:pPr>
              <w:pStyle w:val="ListBullet"/>
              <w:rPr>
                <w:lang w:val="en-NZ"/>
              </w:rPr>
            </w:pPr>
            <w:r w:rsidRPr="00456FFC">
              <w:t>use different reading approaches to locate specific compliance requirements in a range of resources, including the BCA.</w:t>
            </w:r>
          </w:p>
        </w:tc>
      </w:tr>
      <w:tr w:rsidTr="002245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Writing skills to:</w:t>
            </w:r>
          </w:p>
        </w:tc>
        <w:tc>
          <w:tcPr>
            <w:tcW w:w="0" w:type="auto"/>
            <w:tcBorders>
              <w:top w:val="nil"/>
              <w:left w:val="nil"/>
              <w:bottom w:val="nil"/>
              <w:right w:val="nil"/>
            </w:tcBorders>
            <w:tcMar>
              <w:top w:w="0" w:type="dxa"/>
              <w:left w:w="62" w:type="dxa"/>
              <w:bottom w:w="0" w:type="dxa"/>
              <w:right w:w="62" w:type="dxa"/>
            </w:tcMar>
          </w:tcPr>
          <w:p w:rsidR="00000000" w:rsidRPr="00456FFC" w:rsidP="00456FFC">
            <w:pPr>
              <w:pStyle w:val="ListBullet"/>
            </w:pPr>
            <w:r w:rsidRPr="00456FFC">
              <w:t>make legible notes of discussions with colleagues and external specialists</w:t>
            </w:r>
          </w:p>
          <w:p w:rsidR="00000000" w:rsidRPr="00456FFC" w:rsidP="00456FFC">
            <w:pPr>
              <w:pStyle w:val="ListBullet"/>
            </w:pPr>
            <w:r w:rsidRPr="00456FFC">
              <w:t>use specialised vocabulary relating to building design projects.</w:t>
            </w:r>
          </w:p>
        </w:tc>
      </w:tr>
    </w:tbl>
    <w:p w:rsidR="00000000" w:rsidRPr="00456FFC" w:rsidP="00456FFC">
      <w:pPr>
        <w:pStyle w:val="BodyText"/>
      </w:pPr>
    </w:p>
    <w:p w:rsidR="00000000" w:rsidRPr="00456FFC" w:rsidP="00456FFC">
      <w:pPr>
        <w:pStyle w:val="AllowPageBreak"/>
      </w:pPr>
    </w:p>
    <w:p w:rsidR="00000000" w:rsidRPr="00456FFC" w:rsidP="00456FFC">
      <w:pPr>
        <w:pStyle w:val="Heading1"/>
      </w:pPr>
      <w:bookmarkStart w:id="8" w:name="O_660829"/>
      <w:bookmarkEnd w:id="8"/>
      <w:r w:rsidRPr="00456FFC">
        <w:t>Range of Conditions</w:t>
      </w:r>
    </w:p>
    <w:tbl>
      <w:tblPr>
        <w:tblW w:w="0" w:type="auto"/>
        <w:tblCellMar>
          <w:left w:w="62" w:type="dxa"/>
          <w:right w:w="62" w:type="dxa"/>
        </w:tblCellMar>
        <w:tblLook w:val="0000"/>
      </w:tblPr>
      <w:tblGrid>
        <w:gridCol w:w="2163"/>
        <w:gridCol w:w="7033"/>
      </w:tblGrid>
      <w:tr w:rsidTr="002245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t>This section specifies work environments and conditions that may affect performance. Essential operating conditions that may be present (depending on th</w:t>
            </w:r>
            <w:r w:rsidRPr="00456FFC">
              <w:t>e work situation, needs of the candidate, accessibility of the item, and local industry and regional contexts) are included. Bold italicised wording, if used in the performance criteria, is detailed below.</w:t>
            </w:r>
          </w:p>
        </w:tc>
      </w:tr>
      <w:tr w:rsidTr="002245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rPr>
                <w:rStyle w:val="BoldandItalics"/>
              </w:rPr>
              <w:t>Legislation</w:t>
            </w:r>
            <w:r w:rsidRPr="00456FFC">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456FFC" w:rsidP="00456FFC">
            <w:pPr>
              <w:pStyle w:val="ListBullet"/>
            </w:pPr>
            <w:r w:rsidRPr="00456FFC">
              <w:t>legislation and regulations relating to:</w:t>
            </w:r>
          </w:p>
          <w:p w:rsidR="00000000" w:rsidRPr="00456FFC" w:rsidP="00456FFC">
            <w:pPr>
              <w:pStyle w:val="ListBullet2"/>
            </w:pPr>
            <w:r w:rsidRPr="00456FFC">
              <w:t>building</w:t>
            </w:r>
          </w:p>
          <w:p w:rsidR="00000000" w:rsidRPr="00456FFC" w:rsidP="00456FFC">
            <w:pPr>
              <w:pStyle w:val="ListBullet2"/>
            </w:pPr>
            <w:r w:rsidRPr="00456FFC">
              <w:t>construction materials and methods</w:t>
            </w:r>
          </w:p>
          <w:p w:rsidR="00000000" w:rsidRPr="00456FFC" w:rsidP="00456FFC">
            <w:pPr>
              <w:pStyle w:val="ListBullet2"/>
            </w:pPr>
            <w:r w:rsidRPr="00456FFC">
              <w:t>disability access</w:t>
            </w:r>
          </w:p>
          <w:p w:rsidR="00000000" w:rsidRPr="00456FFC" w:rsidP="00456FFC">
            <w:pPr>
              <w:pStyle w:val="ListBullet2"/>
            </w:pPr>
            <w:r w:rsidRPr="00456FFC">
              <w:t>energy efficiency</w:t>
            </w:r>
          </w:p>
          <w:p w:rsidR="00000000" w:rsidRPr="00456FFC" w:rsidP="00456FFC">
            <w:pPr>
              <w:pStyle w:val="ListBullet2"/>
            </w:pPr>
            <w:r w:rsidRPr="00456FFC">
              <w:t>environment</w:t>
            </w:r>
          </w:p>
          <w:p w:rsidR="00000000" w:rsidRPr="00456FFC" w:rsidP="00456FFC">
            <w:pPr>
              <w:pStyle w:val="ListBullet2"/>
            </w:pPr>
            <w:r w:rsidRPr="00456FFC">
              <w:t>local authority planning schemes</w:t>
            </w:r>
          </w:p>
          <w:p w:rsidR="00000000" w:rsidP="00456FFC">
            <w:pPr>
              <w:pStyle w:val="ListBullet2"/>
              <w:rPr>
                <w:lang w:val="en-NZ"/>
              </w:rPr>
            </w:pPr>
            <w:r w:rsidRPr="00456FFC">
              <w:t>work health and safety (WHS).</w:t>
            </w:r>
          </w:p>
        </w:tc>
      </w:tr>
      <w:tr w:rsidTr="002245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rPr>
                <w:rStyle w:val="BoldandItalics"/>
              </w:rPr>
              <w:t>Codes and standards</w:t>
            </w:r>
            <w:r w:rsidRPr="00456FFC">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456FFC" w:rsidP="00456FFC">
            <w:pPr>
              <w:pStyle w:val="ListBullet"/>
            </w:pPr>
            <w:r w:rsidRPr="00456FFC">
              <w:t>Australian standards, including standards for drawing:</w:t>
            </w:r>
          </w:p>
          <w:p w:rsidR="00000000" w:rsidRPr="00456FFC" w:rsidP="00456FFC">
            <w:pPr>
              <w:pStyle w:val="ListBullet2"/>
            </w:pPr>
            <w:r w:rsidRPr="00456FFC">
              <w:t>AS1100.101 Technical drawing - General principles</w:t>
            </w:r>
          </w:p>
          <w:p w:rsidR="00000000" w:rsidRPr="00456FFC" w:rsidP="00456FFC">
            <w:pPr>
              <w:pStyle w:val="ListBullet2"/>
            </w:pPr>
            <w:r w:rsidRPr="00456FFC">
              <w:t>AS1100.301 Technical drawing - Architectural drawing</w:t>
            </w:r>
          </w:p>
          <w:p w:rsidR="00000000" w:rsidRPr="00456FFC" w:rsidP="00456FFC">
            <w:pPr>
              <w:pStyle w:val="ListBullet2"/>
            </w:pPr>
            <w:r w:rsidRPr="00456FFC">
              <w:t>AS1101.1 Graphic symbols for general engineering - Hydraulic and pneumatic systems</w:t>
            </w:r>
          </w:p>
          <w:p w:rsidR="00000000" w:rsidP="00456FFC">
            <w:pPr>
              <w:pStyle w:val="ListBullet"/>
              <w:rPr>
                <w:lang w:val="en-NZ"/>
              </w:rPr>
            </w:pPr>
            <w:r w:rsidRPr="00456FFC">
              <w:t>NCC.</w:t>
            </w:r>
          </w:p>
        </w:tc>
      </w:tr>
      <w:tr w:rsidTr="002245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rPr>
                <w:rStyle w:val="BoldandItalics"/>
              </w:rPr>
              <w:t>Compliance requirements</w:t>
            </w:r>
            <w:r w:rsidRPr="00456FFC">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456FFC" w:rsidP="00456FFC">
            <w:pPr>
              <w:pStyle w:val="ListBullet"/>
            </w:pPr>
            <w:r w:rsidRPr="00456FFC">
              <w:t xml:space="preserve">current Australian standards applicable to the building design </w:t>
            </w:r>
          </w:p>
          <w:p w:rsidR="00000000" w:rsidRPr="00456FFC" w:rsidP="00456FFC">
            <w:pPr>
              <w:pStyle w:val="ListBullet"/>
            </w:pPr>
            <w:r w:rsidRPr="00456FFC">
              <w:t>federal, state or territory, and local authority legislation and regulations and planning schemes applicable to the building design</w:t>
            </w:r>
          </w:p>
          <w:p w:rsidR="00000000" w:rsidP="00456FFC">
            <w:pPr>
              <w:pStyle w:val="ListBullet"/>
              <w:rPr>
                <w:lang w:val="en-NZ"/>
              </w:rPr>
            </w:pPr>
            <w:r w:rsidRPr="00456FFC">
              <w:t>NCC.</w:t>
            </w:r>
          </w:p>
        </w:tc>
      </w:tr>
      <w:tr w:rsidTr="002245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FFC">
            <w:pPr>
              <w:pStyle w:val="BodyText"/>
              <w:rPr>
                <w:lang w:val="en-NZ"/>
              </w:rPr>
            </w:pPr>
            <w:r w:rsidRPr="00456FFC">
              <w:rPr>
                <w:rStyle w:val="BoldandItalics"/>
              </w:rPr>
              <w:t>Constraints</w:t>
            </w:r>
            <w:r w:rsidRPr="00456FFC">
              <w:t xml:space="preserve"> mus</w:t>
            </w:r>
            <w:r w:rsidRPr="00456FFC">
              <w:t>t include:</w:t>
            </w:r>
          </w:p>
        </w:tc>
        <w:tc>
          <w:tcPr>
            <w:tcW w:w="0" w:type="auto"/>
            <w:tcBorders>
              <w:top w:val="nil"/>
              <w:left w:val="nil"/>
              <w:bottom w:val="nil"/>
              <w:right w:val="nil"/>
            </w:tcBorders>
            <w:tcMar>
              <w:top w:w="0" w:type="dxa"/>
              <w:left w:w="62" w:type="dxa"/>
              <w:bottom w:w="0" w:type="dxa"/>
              <w:right w:w="62" w:type="dxa"/>
            </w:tcMar>
          </w:tcPr>
          <w:p w:rsidR="00000000" w:rsidRPr="00456FFC" w:rsidP="00456FFC">
            <w:pPr>
              <w:pStyle w:val="ListBullet"/>
            </w:pPr>
            <w:r w:rsidRPr="00456FFC">
              <w:t>reference to:</w:t>
            </w:r>
          </w:p>
          <w:p w:rsidR="00000000" w:rsidRPr="00456FFC" w:rsidP="00456FFC">
            <w:pPr>
              <w:pStyle w:val="ListBullet2"/>
            </w:pPr>
            <w:r w:rsidRPr="00456FFC">
              <w:t>local authority planning scheme relevant to the applicable building design</w:t>
            </w:r>
          </w:p>
          <w:p w:rsidR="00000000" w:rsidRPr="00456FFC" w:rsidP="00456FFC">
            <w:pPr>
              <w:pStyle w:val="ListBullet2"/>
            </w:pPr>
            <w:r w:rsidRPr="00456FFC">
              <w:t>project brief</w:t>
            </w:r>
          </w:p>
          <w:p w:rsidR="00000000" w:rsidRPr="00456FFC" w:rsidP="00456FFC">
            <w:pPr>
              <w:pStyle w:val="ListBullet2"/>
            </w:pPr>
            <w:r w:rsidRPr="00456FFC">
              <w:t>sections of the BCA relevant to the applicable building design.</w:t>
            </w:r>
          </w:p>
        </w:tc>
      </w:tr>
    </w:tbl>
    <w:p w:rsidR="00000000" w:rsidRPr="00456FFC" w:rsidP="00456FFC">
      <w:pPr>
        <w:pStyle w:val="BodyText"/>
      </w:pPr>
    </w:p>
    <w:p w:rsidR="00000000" w:rsidRPr="00456FFC" w:rsidP="00456FFC">
      <w:pPr>
        <w:pStyle w:val="AllowPageBreak"/>
      </w:pPr>
    </w:p>
    <w:p w:rsidR="00000000" w:rsidRPr="00456FFC" w:rsidP="00456FFC">
      <w:pPr>
        <w:pStyle w:val="Heading1"/>
      </w:pPr>
      <w:bookmarkStart w:id="9" w:name="O_660830"/>
      <w:bookmarkEnd w:id="9"/>
      <w:r w:rsidRPr="00456FFC">
        <w:t>Unit Mapping Information</w:t>
      </w:r>
    </w:p>
    <w:p w:rsidR="00000000" w:rsidRPr="00456FFC" w:rsidP="0022451C">
      <w:pPr>
        <w:pStyle w:val="BodyText"/>
      </w:pPr>
      <w:r w:rsidRPr="00456FFC">
        <w:t>No equivalent unit.</w:t>
      </w:r>
    </w:p>
    <w:p w:rsidR="00000000" w:rsidRPr="00456FFC" w:rsidP="00456FFC">
      <w:pPr>
        <w:pStyle w:val="Heading1"/>
      </w:pPr>
      <w:bookmarkStart w:id="10" w:name="O_660837"/>
      <w:bookmarkEnd w:id="10"/>
      <w:r w:rsidRPr="00456FFC">
        <w:t>Links</w:t>
      </w:r>
    </w:p>
    <w:p w:rsidR="00000000" w:rsidRPr="00456FFC" w:rsidP="0022451C">
      <w:pPr>
        <w:pStyle w:val="BodyText"/>
      </w:pPr>
      <w:r w:rsidRPr="00456FF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013A9">
        <w:rPr>
          <w:rStyle w:val="Hyperlink"/>
        </w:rPr>
        <w:t>https://vetnet.gov.au/Pages/TrainingDocs.aspx?q=6f3f9672-30e8-4835-b348-205dfcf13d9b</w:t>
      </w:r>
      <w:r>
        <w:fldChar w:fldCharType="end"/>
      </w:r>
    </w:p>
    <w:p w:rsidR="00000000" w:rsidRPr="00456FFC" w:rsidP="00456FFC"/>
    <w:sectPr w:rsidSect="00456F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C" w:rsidRPr="0022451C" w:rsidP="00224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1C" w:rsidP="00456F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451C" w:rsidP="00456FF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22451C" w:rsidP="00456F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FFC" w:rsidRPr="0022451C" w:rsidP="002245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1C" w:rsidRPr="002D2AF8" w:rsidP="00456FFC">
    <w:pPr>
      <w:pStyle w:val="Header"/>
      <w:framePr w:wrap="around"/>
    </w:pPr>
    <w:r>
      <w:fldChar w:fldCharType="begin"/>
    </w:r>
    <w:r>
      <w:instrText xml:space="preserve"> TITLE   \* MERGEFORMAT </w:instrText>
    </w:r>
    <w:r>
      <w:fldChar w:fldCharType="separate"/>
    </w:r>
    <w:r>
      <w:t>CPPBDN4002 Research and apply compliance requirements to technical construction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22451C" w:rsidP="00456F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244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C5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8C6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F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FFC"/>
    <w:pPr>
      <w:spacing w:before="360" w:after="60"/>
      <w:outlineLvl w:val="0"/>
    </w:pPr>
    <w:rPr>
      <w:sz w:val="32"/>
    </w:rPr>
  </w:style>
  <w:style w:type="paragraph" w:styleId="Heading2">
    <w:name w:val="heading 2"/>
    <w:basedOn w:val="HeadingBase"/>
    <w:next w:val="BodyText"/>
    <w:link w:val="Heading2Char"/>
    <w:qFormat/>
    <w:rsid w:val="00456FFC"/>
    <w:pPr>
      <w:keepLines/>
      <w:spacing w:before="240" w:after="120"/>
      <w:outlineLvl w:val="1"/>
    </w:pPr>
    <w:rPr>
      <w:sz w:val="28"/>
      <w:szCs w:val="40"/>
    </w:rPr>
  </w:style>
  <w:style w:type="paragraph" w:styleId="Heading3">
    <w:name w:val="heading 3"/>
    <w:basedOn w:val="HeadingBase"/>
    <w:next w:val="BodyText"/>
    <w:link w:val="Heading3Char"/>
    <w:qFormat/>
    <w:rsid w:val="00456FFC"/>
    <w:pPr>
      <w:spacing w:before="180" w:after="120"/>
      <w:outlineLvl w:val="2"/>
    </w:pPr>
    <w:rPr>
      <w:spacing w:val="-10"/>
      <w:kern w:val="32"/>
    </w:rPr>
  </w:style>
  <w:style w:type="paragraph" w:styleId="Heading4">
    <w:name w:val="heading 4"/>
    <w:basedOn w:val="HeadingBase"/>
    <w:next w:val="BodyText"/>
    <w:link w:val="Heading4Char"/>
    <w:qFormat/>
    <w:rsid w:val="00456FFC"/>
    <w:pPr>
      <w:spacing w:before="160" w:after="120"/>
      <w:outlineLvl w:val="3"/>
    </w:pPr>
    <w:rPr>
      <w:sz w:val="22"/>
    </w:rPr>
  </w:style>
  <w:style w:type="paragraph" w:styleId="Heading5">
    <w:name w:val="heading 5"/>
    <w:basedOn w:val="HeadingBase"/>
    <w:next w:val="Normal"/>
    <w:link w:val="Heading5Char"/>
    <w:qFormat/>
    <w:rsid w:val="00456FFC"/>
    <w:pPr>
      <w:spacing w:before="80"/>
      <w:outlineLvl w:val="4"/>
    </w:pPr>
    <w:rPr>
      <w:color w:val="918585"/>
      <w:sz w:val="20"/>
    </w:rPr>
  </w:style>
  <w:style w:type="paragraph" w:styleId="Heading6">
    <w:name w:val="heading 6"/>
    <w:basedOn w:val="HeadingBase"/>
    <w:next w:val="Normal"/>
    <w:link w:val="Heading6Char"/>
    <w:qFormat/>
    <w:rsid w:val="00456FFC"/>
    <w:pPr>
      <w:spacing w:before="60"/>
      <w:outlineLvl w:val="5"/>
    </w:pPr>
    <w:rPr>
      <w:color w:val="918585"/>
      <w:sz w:val="20"/>
    </w:rPr>
  </w:style>
  <w:style w:type="paragraph" w:styleId="Heading7">
    <w:name w:val="heading 7"/>
    <w:basedOn w:val="Normal"/>
    <w:next w:val="Normal"/>
    <w:link w:val="Heading7Char"/>
    <w:qFormat/>
    <w:rsid w:val="00456FFC"/>
    <w:pPr>
      <w:ind w:left="720"/>
      <w:outlineLvl w:val="6"/>
    </w:pPr>
    <w:rPr>
      <w:i/>
    </w:rPr>
  </w:style>
  <w:style w:type="paragraph" w:styleId="Heading8">
    <w:name w:val="heading 8"/>
    <w:basedOn w:val="Normal"/>
    <w:next w:val="Normal"/>
    <w:link w:val="Heading8Char"/>
    <w:qFormat/>
    <w:rsid w:val="00456FFC"/>
    <w:pPr>
      <w:ind w:left="720"/>
      <w:outlineLvl w:val="7"/>
    </w:pPr>
    <w:rPr>
      <w:i/>
    </w:rPr>
  </w:style>
  <w:style w:type="paragraph" w:styleId="Heading9">
    <w:name w:val="heading 9"/>
    <w:basedOn w:val="Normal"/>
    <w:next w:val="Normal"/>
    <w:link w:val="Heading9Char"/>
    <w:qFormat/>
    <w:rsid w:val="00456FFC"/>
    <w:pPr>
      <w:ind w:left="720"/>
      <w:outlineLvl w:val="8"/>
    </w:pPr>
    <w:rPr>
      <w:i/>
    </w:rPr>
  </w:style>
  <w:style w:type="character" w:default="1" w:styleId="DefaultParagraphFont">
    <w:name w:val="Default Paragraph Font"/>
    <w:uiPriority w:val="1"/>
    <w:unhideWhenUsed/>
    <w:rsid w:val="00456F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FFC"/>
  </w:style>
  <w:style w:type="character" w:customStyle="1" w:styleId="Heading1Char">
    <w:name w:val="Heading 1 Char"/>
    <w:basedOn w:val="DefaultParagraphFont"/>
    <w:link w:val="Heading1"/>
    <w:rsid w:val="00456FFC"/>
    <w:rPr>
      <w:rFonts w:ascii="Times New Roman" w:eastAsia="Times New Roman" w:hAnsi="Times New Roman" w:cs="Times New Roman"/>
      <w:b/>
      <w:sz w:val="32"/>
      <w:szCs w:val="20"/>
      <w:lang w:eastAsia="en-US"/>
    </w:rPr>
  </w:style>
  <w:style w:type="paragraph" w:styleId="BodyText">
    <w:name w:val="Body Text"/>
    <w:basedOn w:val="Normal"/>
    <w:link w:val="BodyTextChar"/>
    <w:rsid w:val="00456F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6FFC"/>
    <w:rPr>
      <w:rFonts w:ascii="Times New Roman" w:eastAsia="Times New Roman" w:hAnsi="Times New Roman" w:cs="Times New Roman"/>
      <w:sz w:val="24"/>
      <w:lang w:eastAsia="en-US"/>
    </w:rPr>
  </w:style>
  <w:style w:type="paragraph" w:styleId="ListBullet">
    <w:name w:val="List Bullet"/>
    <w:basedOn w:val="List"/>
    <w:rsid w:val="00456FFC"/>
    <w:pPr>
      <w:numPr>
        <w:numId w:val="12"/>
      </w:numPr>
      <w:tabs>
        <w:tab w:val="clear" w:pos="340"/>
      </w:tabs>
      <w:spacing w:before="40" w:after="40"/>
    </w:pPr>
  </w:style>
  <w:style w:type="character" w:customStyle="1" w:styleId="SpecialBold">
    <w:name w:val="Special Bold"/>
    <w:basedOn w:val="DefaultParagraphFont"/>
    <w:rsid w:val="00456FFC"/>
    <w:rPr>
      <w:b/>
      <w:spacing w:val="0"/>
    </w:rPr>
  </w:style>
  <w:style w:type="paragraph" w:styleId="ListBullet2">
    <w:name w:val="List Bullet 2"/>
    <w:basedOn w:val="List2"/>
    <w:rsid w:val="00456FFC"/>
    <w:pPr>
      <w:numPr>
        <w:numId w:val="13"/>
      </w:numPr>
      <w:tabs>
        <w:tab w:val="clear" w:pos="680"/>
      </w:tabs>
    </w:pPr>
  </w:style>
  <w:style w:type="paragraph" w:customStyle="1" w:styleId="SuperHeading">
    <w:name w:val="SuperHeading"/>
    <w:basedOn w:val="Normal"/>
    <w:rsid w:val="00456FFC"/>
    <w:pPr>
      <w:spacing w:before="240" w:after="120"/>
      <w:outlineLvl w:val="0"/>
    </w:pPr>
    <w:rPr>
      <w:rFonts w:ascii="Times New Roman" w:hAnsi="Times New Roman"/>
      <w:b/>
      <w:sz w:val="32"/>
    </w:rPr>
  </w:style>
  <w:style w:type="paragraph" w:customStyle="1" w:styleId="AllowPageBreak">
    <w:name w:val="AllowPageBreak"/>
    <w:rsid w:val="00456F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6FFC"/>
    <w:rPr>
      <w:b/>
      <w:i/>
      <w:u w:val="none"/>
    </w:rPr>
  </w:style>
  <w:style w:type="character" w:customStyle="1" w:styleId="Heading2Char">
    <w:name w:val="Heading 2 Char"/>
    <w:basedOn w:val="DefaultParagraphFont"/>
    <w:link w:val="Heading2"/>
    <w:rsid w:val="00456F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F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F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F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F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F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F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FFC"/>
    <w:rPr>
      <w:rFonts w:ascii="Courier New" w:eastAsia="Times New Roman" w:hAnsi="Courier New" w:cs="Times New Roman"/>
      <w:i/>
      <w:szCs w:val="20"/>
      <w:lang w:eastAsia="en-US"/>
    </w:rPr>
  </w:style>
  <w:style w:type="paragraph" w:customStyle="1" w:styleId="HeadingBase">
    <w:name w:val="Heading Base"/>
    <w:rsid w:val="00456F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FFC"/>
    <w:pPr>
      <w:tabs>
        <w:tab w:val="right" w:leader="dot" w:pos="9072"/>
      </w:tabs>
      <w:ind w:left="567"/>
    </w:pPr>
    <w:rPr>
      <w:szCs w:val="22"/>
    </w:rPr>
  </w:style>
  <w:style w:type="paragraph" w:customStyle="1" w:styleId="TOCBase">
    <w:name w:val="TOC Base"/>
    <w:rsid w:val="00456F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FFC"/>
    <w:pPr>
      <w:tabs>
        <w:tab w:val="right" w:leader="dot" w:pos="9072"/>
      </w:tabs>
      <w:spacing w:before="40" w:after="40"/>
      <w:ind w:left="284"/>
    </w:pPr>
    <w:rPr>
      <w:rFonts w:ascii="Times New Roman" w:hAnsi="Times New Roman"/>
    </w:rPr>
  </w:style>
  <w:style w:type="paragraph" w:styleId="TOC1">
    <w:name w:val="toc 1"/>
    <w:basedOn w:val="TOCBase"/>
    <w:next w:val="Normal"/>
    <w:rsid w:val="00456F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F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FFC"/>
    <w:rPr>
      <w:rFonts w:ascii="Times New Roman" w:eastAsia="Times New Roman" w:hAnsi="Times New Roman" w:cs="Times New Roman"/>
      <w:sz w:val="16"/>
      <w:lang w:eastAsia="en-US"/>
    </w:rPr>
  </w:style>
  <w:style w:type="paragraph" w:styleId="Title">
    <w:name w:val="Title"/>
    <w:basedOn w:val="HeadingBase"/>
    <w:link w:val="TitleChar"/>
    <w:qFormat/>
    <w:rsid w:val="00456FFC"/>
    <w:pPr>
      <w:spacing w:before="5040"/>
      <w:jc w:val="center"/>
    </w:pPr>
    <w:rPr>
      <w:sz w:val="48"/>
      <w:szCs w:val="72"/>
      <w:lang w:val="en-US"/>
    </w:rPr>
  </w:style>
  <w:style w:type="character" w:customStyle="1" w:styleId="TitleChar">
    <w:name w:val="Title Char"/>
    <w:basedOn w:val="DefaultParagraphFont"/>
    <w:link w:val="Title"/>
    <w:rsid w:val="00456F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FFC"/>
    <w:pPr>
      <w:tabs>
        <w:tab w:val="left" w:pos="3600"/>
        <w:tab w:val="left" w:pos="3958"/>
      </w:tabs>
    </w:pPr>
  </w:style>
  <w:style w:type="paragraph" w:styleId="List">
    <w:name w:val="List"/>
    <w:basedOn w:val="BodyText"/>
    <w:next w:val="BodyText"/>
    <w:rsid w:val="00456FFC"/>
    <w:pPr>
      <w:tabs>
        <w:tab w:val="left" w:pos="340"/>
      </w:tabs>
      <w:spacing w:before="60" w:after="60"/>
      <w:ind w:left="340" w:hanging="340"/>
    </w:pPr>
  </w:style>
  <w:style w:type="paragraph" w:customStyle="1" w:styleId="Note">
    <w:name w:val="Note"/>
    <w:basedOn w:val="BodyText"/>
    <w:rsid w:val="00456F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FFC"/>
    <w:pPr>
      <w:framePr w:wrap="auto" w:hAnchor="text" w:y="6049"/>
    </w:pPr>
    <w:rPr>
      <w:color w:val="000000"/>
      <w:sz w:val="40"/>
    </w:rPr>
  </w:style>
  <w:style w:type="paragraph" w:customStyle="1" w:styleId="TOCTitle">
    <w:name w:val="TOCTitle"/>
    <w:basedOn w:val="Heading1"/>
    <w:rsid w:val="00456FFC"/>
    <w:pPr>
      <w:spacing w:after="240"/>
      <w:jc w:val="center"/>
      <w:outlineLvl w:val="9"/>
    </w:pPr>
    <w:rPr>
      <w:caps/>
    </w:rPr>
  </w:style>
  <w:style w:type="paragraph" w:customStyle="1" w:styleId="Version">
    <w:name w:val="Version"/>
    <w:rsid w:val="00456F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FFC"/>
    <w:pPr>
      <w:keepNext w:val="0"/>
      <w:tabs>
        <w:tab w:val="right" w:pos="4176"/>
      </w:tabs>
      <w:ind w:left="198" w:hanging="198"/>
    </w:pPr>
    <w:rPr>
      <w:rFonts w:ascii="Garamond" w:hAnsi="Garamond"/>
    </w:rPr>
  </w:style>
  <w:style w:type="paragraph" w:styleId="IndexHeading">
    <w:name w:val="index heading"/>
    <w:basedOn w:val="Normal"/>
    <w:next w:val="Index1"/>
    <w:semiHidden/>
    <w:rsid w:val="00456FFC"/>
    <w:pPr>
      <w:spacing w:before="120" w:after="120"/>
    </w:pPr>
    <w:rPr>
      <w:rFonts w:ascii="Arial" w:hAnsi="Arial"/>
      <w:b/>
      <w:color w:val="918585"/>
      <w:sz w:val="24"/>
    </w:rPr>
  </w:style>
  <w:style w:type="paragraph" w:styleId="Header">
    <w:name w:val="header"/>
    <w:basedOn w:val="Normal"/>
    <w:link w:val="HeaderChar"/>
    <w:rsid w:val="00456F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FFC"/>
    <w:rPr>
      <w:rFonts w:ascii="Times New Roman" w:eastAsia="Times New Roman" w:hAnsi="Times New Roman" w:cs="Times New Roman"/>
      <w:sz w:val="16"/>
      <w:szCs w:val="20"/>
      <w:lang w:val="en-GB" w:eastAsia="en-US"/>
    </w:rPr>
  </w:style>
  <w:style w:type="paragraph" w:customStyle="1" w:styleId="Chapter">
    <w:name w:val="Chapter"/>
    <w:basedOn w:val="Normal"/>
    <w:rsid w:val="00456FFC"/>
    <w:pPr>
      <w:spacing w:before="240"/>
    </w:pPr>
    <w:rPr>
      <w:rFonts w:ascii="Times New Roman" w:hAnsi="Times New Roman"/>
      <w:smallCaps/>
      <w:spacing w:val="80"/>
      <w:sz w:val="28"/>
    </w:rPr>
  </w:style>
  <w:style w:type="paragraph" w:customStyle="1" w:styleId="InChapter">
    <w:name w:val="InChapter"/>
    <w:basedOn w:val="Heading3"/>
    <w:rsid w:val="00456FFC"/>
    <w:pPr>
      <w:spacing w:after="240"/>
      <w:outlineLvl w:val="9"/>
    </w:pPr>
    <w:rPr>
      <w:noProof/>
    </w:rPr>
  </w:style>
  <w:style w:type="paragraph" w:styleId="Index2">
    <w:name w:val="index 2"/>
    <w:basedOn w:val="Normal"/>
    <w:next w:val="Normal"/>
    <w:semiHidden/>
    <w:rsid w:val="00456FFC"/>
    <w:pPr>
      <w:tabs>
        <w:tab w:val="right" w:pos="4176"/>
      </w:tabs>
      <w:ind w:left="568" w:hanging="284"/>
    </w:pPr>
    <w:rPr>
      <w:rFonts w:ascii="Garamond" w:hAnsi="Garamond"/>
    </w:rPr>
  </w:style>
  <w:style w:type="paragraph" w:customStyle="1" w:styleId="Byline">
    <w:name w:val="Byline"/>
    <w:rsid w:val="00456F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FFC"/>
    <w:pPr>
      <w:tabs>
        <w:tab w:val="clear" w:pos="3600"/>
        <w:tab w:val="clear" w:pos="3958"/>
      </w:tabs>
      <w:jc w:val="right"/>
    </w:pPr>
  </w:style>
  <w:style w:type="character" w:styleId="Emphasis">
    <w:name w:val="Emphasis"/>
    <w:basedOn w:val="DefaultParagraphFont"/>
    <w:qFormat/>
    <w:rsid w:val="00456FFC"/>
    <w:rPr>
      <w:i/>
    </w:rPr>
  </w:style>
  <w:style w:type="paragraph" w:styleId="Caption">
    <w:name w:val="caption"/>
    <w:basedOn w:val="BodyText"/>
    <w:next w:val="Normal"/>
    <w:qFormat/>
    <w:rsid w:val="00456FFC"/>
    <w:pPr>
      <w:framePr w:w="2268" w:hSpace="181" w:vSpace="181" w:wrap="around" w:vAnchor="text" w:hAnchor="page" w:x="1135" w:y="285" w:anchorLock="1"/>
    </w:pPr>
    <w:rPr>
      <w:i/>
    </w:rPr>
  </w:style>
  <w:style w:type="paragraph" w:customStyle="1" w:styleId="MiniTOCTitle">
    <w:name w:val="MiniTOCTitle"/>
    <w:basedOn w:val="Heading4"/>
    <w:rsid w:val="00456FFC"/>
    <w:pPr>
      <w:spacing w:before="240"/>
      <w:outlineLvl w:val="9"/>
    </w:pPr>
    <w:rPr>
      <w:noProof/>
      <w:sz w:val="24"/>
    </w:rPr>
  </w:style>
  <w:style w:type="paragraph" w:customStyle="1" w:styleId="MiniTOCItem">
    <w:name w:val="MiniTOCItem"/>
    <w:basedOn w:val="ListBullet"/>
    <w:rsid w:val="00456FFC"/>
    <w:pPr>
      <w:numPr>
        <w:numId w:val="0"/>
      </w:numPr>
      <w:tabs>
        <w:tab w:val="right" w:leader="dot" w:pos="6521"/>
      </w:tabs>
      <w:spacing w:before="0" w:after="0"/>
    </w:pPr>
  </w:style>
  <w:style w:type="paragraph" w:customStyle="1" w:styleId="TOFTitle">
    <w:name w:val="TOFTitle"/>
    <w:basedOn w:val="TOCTitle"/>
    <w:rsid w:val="00456FFC"/>
  </w:style>
  <w:style w:type="paragraph" w:styleId="TableofFigures">
    <w:name w:val="table of figures"/>
    <w:basedOn w:val="Normal"/>
    <w:next w:val="Normal"/>
    <w:semiHidden/>
    <w:rsid w:val="00456FFC"/>
    <w:pPr>
      <w:tabs>
        <w:tab w:val="right" w:leader="dot" w:pos="9072"/>
      </w:tabs>
      <w:ind w:left="970" w:hanging="403"/>
    </w:pPr>
    <w:rPr>
      <w:rFonts w:ascii="Times New Roman" w:hAnsi="Times New Roman"/>
      <w:b/>
    </w:rPr>
  </w:style>
  <w:style w:type="paragraph" w:styleId="ListNumber">
    <w:name w:val="List Number"/>
    <w:basedOn w:val="List"/>
    <w:rsid w:val="00456FFC"/>
    <w:pPr>
      <w:numPr>
        <w:numId w:val="15"/>
      </w:numPr>
      <w:tabs>
        <w:tab w:val="clear" w:pos="340"/>
      </w:tabs>
    </w:pPr>
  </w:style>
  <w:style w:type="character" w:customStyle="1" w:styleId="WingdingSymbols">
    <w:name w:val="Wingding Symbols"/>
    <w:rsid w:val="00456FFC"/>
    <w:rPr>
      <w:rFonts w:ascii="Wingdings" w:hAnsi="Wingdings"/>
    </w:rPr>
  </w:style>
  <w:style w:type="paragraph" w:customStyle="1" w:styleId="TableHeading">
    <w:name w:val="Table Heading"/>
    <w:basedOn w:val="HeadingBase"/>
    <w:rsid w:val="00456FFC"/>
    <w:pPr>
      <w:keepLines/>
      <w:pBdr>
        <w:bottom w:val="single" w:sz="6" w:space="1" w:color="918585"/>
      </w:pBdr>
      <w:spacing w:before="240"/>
    </w:pPr>
  </w:style>
  <w:style w:type="character" w:customStyle="1" w:styleId="HotSpot">
    <w:name w:val="HotSpot"/>
    <w:rsid w:val="00456FFC"/>
    <w:rPr>
      <w:color w:val="0033CC"/>
      <w:u w:val="none"/>
    </w:rPr>
  </w:style>
  <w:style w:type="paragraph" w:customStyle="1" w:styleId="BodyTextRight">
    <w:name w:val="Body Text Right"/>
    <w:basedOn w:val="BodyText"/>
    <w:rsid w:val="00456FFC"/>
    <w:pPr>
      <w:spacing w:before="0" w:after="0"/>
      <w:jc w:val="right"/>
    </w:pPr>
  </w:style>
  <w:style w:type="paragraph" w:styleId="Index3">
    <w:name w:val="index 3"/>
    <w:basedOn w:val="ListNumber2"/>
    <w:next w:val="Normal"/>
    <w:semiHidden/>
    <w:rsid w:val="00456FFC"/>
    <w:pPr>
      <w:numPr>
        <w:numId w:val="0"/>
      </w:numPr>
      <w:tabs>
        <w:tab w:val="right" w:leader="dot" w:pos="4176"/>
      </w:tabs>
    </w:pPr>
  </w:style>
  <w:style w:type="paragraph" w:styleId="ListNumber2">
    <w:name w:val="List Number 2"/>
    <w:basedOn w:val="List2"/>
    <w:rsid w:val="00456FFC"/>
    <w:pPr>
      <w:numPr>
        <w:numId w:val="10"/>
      </w:numPr>
      <w:tabs>
        <w:tab w:val="clear" w:pos="1060"/>
      </w:tabs>
    </w:pPr>
  </w:style>
  <w:style w:type="paragraph" w:customStyle="1" w:styleId="MarginNote">
    <w:name w:val="Margin Note"/>
    <w:basedOn w:val="BodyText"/>
    <w:rsid w:val="00456F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F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F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FFC"/>
    <w:rPr>
      <w:sz w:val="32"/>
    </w:rPr>
  </w:style>
  <w:style w:type="paragraph" w:customStyle="1" w:styleId="HeadingProcedure">
    <w:name w:val="Heading Procedure"/>
    <w:basedOn w:val="HeadingBase"/>
    <w:next w:val="Normal"/>
    <w:rsid w:val="00456FFC"/>
    <w:pPr>
      <w:tabs>
        <w:tab w:val="left" w:pos="0"/>
      </w:tabs>
      <w:spacing w:before="120" w:after="60"/>
    </w:pPr>
    <w:rPr>
      <w:i/>
      <w:color w:val="918585"/>
      <w:sz w:val="22"/>
    </w:rPr>
  </w:style>
  <w:style w:type="paragraph" w:customStyle="1" w:styleId="TableBodyText">
    <w:name w:val="Table Body Text"/>
    <w:basedOn w:val="BodyText"/>
    <w:rsid w:val="00456FFC"/>
    <w:pPr>
      <w:spacing w:before="60" w:after="60"/>
    </w:pPr>
  </w:style>
  <w:style w:type="paragraph" w:styleId="ListContinue">
    <w:name w:val="List Continue"/>
    <w:basedOn w:val="List"/>
    <w:rsid w:val="00456FFC"/>
    <w:pPr>
      <w:ind w:firstLine="0"/>
    </w:pPr>
  </w:style>
  <w:style w:type="paragraph" w:customStyle="1" w:styleId="ListNote">
    <w:name w:val="List Note"/>
    <w:basedOn w:val="List"/>
    <w:rsid w:val="00456FFC"/>
    <w:pPr>
      <w:pBdr>
        <w:top w:val="single" w:sz="6" w:space="2" w:color="918585"/>
        <w:bottom w:val="single" w:sz="6" w:space="2" w:color="918585"/>
      </w:pBdr>
      <w:tabs>
        <w:tab w:val="left" w:pos="1021"/>
      </w:tabs>
      <w:ind w:firstLine="0"/>
    </w:pPr>
  </w:style>
  <w:style w:type="paragraph" w:customStyle="1" w:styleId="Warning">
    <w:name w:val="Warning"/>
    <w:basedOn w:val="BodyText"/>
    <w:rsid w:val="00456FFC"/>
    <w:pPr>
      <w:shd w:val="clear" w:color="auto" w:fill="D9D9D9"/>
      <w:tabs>
        <w:tab w:val="left" w:pos="992"/>
      </w:tabs>
      <w:ind w:left="119" w:right="119"/>
    </w:pPr>
    <w:rPr>
      <w:sz w:val="20"/>
    </w:rPr>
  </w:style>
  <w:style w:type="paragraph" w:customStyle="1" w:styleId="MarginIcons">
    <w:name w:val="Margin Icons"/>
    <w:basedOn w:val="BodyText"/>
    <w:rsid w:val="00456F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FFC"/>
    <w:rPr>
      <w:rFonts w:ascii="Courier New" w:hAnsi="Courier New"/>
    </w:rPr>
  </w:style>
  <w:style w:type="paragraph" w:customStyle="1" w:styleId="NoteBullet">
    <w:name w:val="Note Bullet"/>
    <w:basedOn w:val="Note"/>
    <w:rsid w:val="00456FFC"/>
    <w:pPr>
      <w:tabs>
        <w:tab w:val="clear" w:pos="680"/>
      </w:tabs>
      <w:spacing w:before="60" w:after="60"/>
    </w:pPr>
  </w:style>
  <w:style w:type="paragraph" w:customStyle="1" w:styleId="SubHeading2">
    <w:name w:val="SubHeading2"/>
    <w:basedOn w:val="HeadingBase"/>
    <w:rsid w:val="00456FFC"/>
    <w:pPr>
      <w:spacing w:before="240" w:after="60"/>
    </w:pPr>
    <w:rPr>
      <w:sz w:val="20"/>
    </w:rPr>
  </w:style>
  <w:style w:type="paragraph" w:customStyle="1" w:styleId="SubHeading1">
    <w:name w:val="SubHeading1"/>
    <w:basedOn w:val="HeadingBase"/>
    <w:rsid w:val="00456FFC"/>
    <w:pPr>
      <w:spacing w:before="240" w:after="60"/>
    </w:pPr>
    <w:rPr>
      <w:color w:val="918585"/>
      <w:sz w:val="22"/>
    </w:rPr>
  </w:style>
  <w:style w:type="paragraph" w:customStyle="1" w:styleId="SideHeading">
    <w:name w:val="Side Heading"/>
    <w:basedOn w:val="HeadingBase"/>
    <w:rsid w:val="00456F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FFC"/>
    <w:pPr>
      <w:tabs>
        <w:tab w:val="num" w:pos="360"/>
      </w:tabs>
    </w:pPr>
  </w:style>
  <w:style w:type="paragraph" w:styleId="PlainText">
    <w:name w:val="Plain Text"/>
    <w:basedOn w:val="Normal"/>
    <w:link w:val="PlainTextChar"/>
    <w:rsid w:val="00456FFC"/>
    <w:rPr>
      <w:sz w:val="20"/>
    </w:rPr>
  </w:style>
  <w:style w:type="character" w:customStyle="1" w:styleId="PlainTextChar">
    <w:name w:val="Plain Text Char"/>
    <w:basedOn w:val="DefaultParagraphFont"/>
    <w:link w:val="PlainText"/>
    <w:rsid w:val="00456FFC"/>
    <w:rPr>
      <w:rFonts w:ascii="Courier New" w:eastAsia="Times New Roman" w:hAnsi="Courier New" w:cs="Times New Roman"/>
      <w:sz w:val="20"/>
      <w:szCs w:val="20"/>
      <w:lang w:eastAsia="en-US"/>
    </w:rPr>
  </w:style>
  <w:style w:type="character" w:customStyle="1" w:styleId="MenuOption">
    <w:name w:val="Menu Option"/>
    <w:basedOn w:val="DefaultParagraphFont"/>
    <w:rsid w:val="00456FFC"/>
    <w:rPr>
      <w:b/>
      <w:smallCaps/>
    </w:rPr>
  </w:style>
  <w:style w:type="paragraph" w:customStyle="1" w:styleId="TableListNumber">
    <w:name w:val="Table List Number"/>
    <w:basedOn w:val="ListNumber"/>
    <w:rsid w:val="00456FFC"/>
    <w:pPr>
      <w:numPr>
        <w:numId w:val="0"/>
      </w:numPr>
    </w:pPr>
  </w:style>
  <w:style w:type="paragraph" w:styleId="TOC4">
    <w:name w:val="toc 4"/>
    <w:basedOn w:val="TOCBase"/>
    <w:next w:val="Normal"/>
    <w:semiHidden/>
    <w:rsid w:val="00456FFC"/>
    <w:pPr>
      <w:tabs>
        <w:tab w:val="right" w:leader="dot" w:pos="9071"/>
      </w:tabs>
      <w:ind w:left="1701"/>
    </w:pPr>
  </w:style>
  <w:style w:type="paragraph" w:customStyle="1" w:styleId="ListAlpha">
    <w:name w:val="List Alpha"/>
    <w:basedOn w:val="List"/>
    <w:rsid w:val="00456FFC"/>
    <w:pPr>
      <w:numPr>
        <w:numId w:val="9"/>
      </w:numPr>
    </w:pPr>
  </w:style>
  <w:style w:type="paragraph" w:customStyle="1" w:styleId="ListAlpha2">
    <w:name w:val="List Alpha 2"/>
    <w:basedOn w:val="List2"/>
    <w:rsid w:val="00456FFC"/>
    <w:pPr>
      <w:numPr>
        <w:numId w:val="8"/>
      </w:numPr>
    </w:pPr>
  </w:style>
  <w:style w:type="paragraph" w:styleId="List2">
    <w:name w:val="List 2"/>
    <w:basedOn w:val="BodyText"/>
    <w:rsid w:val="00456FFC"/>
    <w:pPr>
      <w:tabs>
        <w:tab w:val="left" w:pos="680"/>
      </w:tabs>
      <w:spacing w:before="60" w:after="60"/>
      <w:ind w:left="680" w:hanging="340"/>
    </w:pPr>
  </w:style>
  <w:style w:type="paragraph" w:styleId="List3">
    <w:name w:val="List 3"/>
    <w:basedOn w:val="BodyText"/>
    <w:rsid w:val="00456FFC"/>
    <w:pPr>
      <w:tabs>
        <w:tab w:val="left" w:pos="1021"/>
      </w:tabs>
      <w:spacing w:before="60" w:after="60"/>
      <w:ind w:left="1020" w:hanging="340"/>
    </w:pPr>
  </w:style>
  <w:style w:type="paragraph" w:styleId="List4">
    <w:name w:val="List 4"/>
    <w:basedOn w:val="BodyText"/>
    <w:rsid w:val="00456FFC"/>
    <w:pPr>
      <w:tabs>
        <w:tab w:val="left" w:pos="1361"/>
      </w:tabs>
      <w:spacing w:before="60" w:after="60"/>
      <w:ind w:left="1361" w:hanging="340"/>
    </w:pPr>
  </w:style>
  <w:style w:type="paragraph" w:styleId="List5">
    <w:name w:val="List 5"/>
    <w:basedOn w:val="BodyText"/>
    <w:rsid w:val="00456FFC"/>
    <w:pPr>
      <w:tabs>
        <w:tab w:val="left" w:pos="1701"/>
      </w:tabs>
      <w:spacing w:before="60" w:after="60"/>
      <w:ind w:left="1701" w:hanging="340"/>
    </w:pPr>
  </w:style>
  <w:style w:type="paragraph" w:styleId="ListBullet3">
    <w:name w:val="List Bullet 3"/>
    <w:basedOn w:val="List3"/>
    <w:rsid w:val="00456FFC"/>
    <w:pPr>
      <w:numPr>
        <w:numId w:val="14"/>
      </w:numPr>
      <w:tabs>
        <w:tab w:val="clear" w:pos="1021"/>
      </w:tabs>
      <w:ind w:left="1037" w:hanging="357"/>
    </w:pPr>
  </w:style>
  <w:style w:type="paragraph" w:styleId="ListBullet4">
    <w:name w:val="List Bullet 4"/>
    <w:basedOn w:val="List4"/>
    <w:rsid w:val="00456FFC"/>
    <w:pPr>
      <w:numPr>
        <w:numId w:val="3"/>
      </w:numPr>
      <w:tabs>
        <w:tab w:val="clear" w:pos="1361"/>
      </w:tabs>
    </w:pPr>
  </w:style>
  <w:style w:type="paragraph" w:styleId="ListBullet5">
    <w:name w:val="List Bullet 5"/>
    <w:basedOn w:val="List5"/>
    <w:rsid w:val="00456FFC"/>
    <w:pPr>
      <w:numPr>
        <w:numId w:val="4"/>
      </w:numPr>
    </w:pPr>
  </w:style>
  <w:style w:type="paragraph" w:styleId="ListContinue2">
    <w:name w:val="List Continue 2"/>
    <w:basedOn w:val="List2"/>
    <w:rsid w:val="00456FFC"/>
    <w:pPr>
      <w:ind w:firstLine="0"/>
    </w:pPr>
  </w:style>
  <w:style w:type="paragraph" w:styleId="ListContinue3">
    <w:name w:val="List Continue 3"/>
    <w:basedOn w:val="List3"/>
    <w:rsid w:val="00456FFC"/>
    <w:pPr>
      <w:ind w:left="1021" w:firstLine="0"/>
    </w:pPr>
  </w:style>
  <w:style w:type="paragraph" w:styleId="ListContinue4">
    <w:name w:val="List Continue 4"/>
    <w:basedOn w:val="List4"/>
    <w:rsid w:val="00456FFC"/>
    <w:pPr>
      <w:ind w:firstLine="0"/>
    </w:pPr>
  </w:style>
  <w:style w:type="paragraph" w:styleId="ListContinue5">
    <w:name w:val="List Continue 5"/>
    <w:basedOn w:val="List5"/>
    <w:rsid w:val="00456FFC"/>
    <w:pPr>
      <w:ind w:firstLine="0"/>
    </w:pPr>
  </w:style>
  <w:style w:type="paragraph" w:styleId="ListNumber3">
    <w:name w:val="List Number 3"/>
    <w:basedOn w:val="List3"/>
    <w:rsid w:val="00456FFC"/>
    <w:pPr>
      <w:numPr>
        <w:numId w:val="5"/>
      </w:numPr>
    </w:pPr>
  </w:style>
  <w:style w:type="paragraph" w:styleId="ListNumber4">
    <w:name w:val="List Number 4"/>
    <w:basedOn w:val="List4"/>
    <w:rsid w:val="00456FFC"/>
    <w:pPr>
      <w:numPr>
        <w:numId w:val="6"/>
      </w:numPr>
    </w:pPr>
  </w:style>
  <w:style w:type="paragraph" w:styleId="ListNumber5">
    <w:name w:val="List Number 5"/>
    <w:basedOn w:val="List5"/>
    <w:rsid w:val="00456FFC"/>
    <w:pPr>
      <w:numPr>
        <w:numId w:val="7"/>
      </w:numPr>
    </w:pPr>
  </w:style>
  <w:style w:type="paragraph" w:styleId="BlockText">
    <w:name w:val="Block Text"/>
    <w:basedOn w:val="Normal"/>
    <w:rsid w:val="00456FFC"/>
    <w:pPr>
      <w:spacing w:after="120"/>
      <w:ind w:left="1440" w:right="1440"/>
    </w:pPr>
  </w:style>
  <w:style w:type="character" w:customStyle="1" w:styleId="Subscript">
    <w:name w:val="Subscript"/>
    <w:basedOn w:val="DefaultParagraphFont"/>
    <w:rsid w:val="00456FFC"/>
    <w:rPr>
      <w:sz w:val="16"/>
      <w:vertAlign w:val="subscript"/>
    </w:rPr>
  </w:style>
  <w:style w:type="character" w:customStyle="1" w:styleId="Superscript">
    <w:name w:val="Superscript"/>
    <w:basedOn w:val="DefaultParagraphFont"/>
    <w:rsid w:val="00456FFC"/>
    <w:rPr>
      <w:sz w:val="16"/>
      <w:vertAlign w:val="superscript"/>
    </w:rPr>
  </w:style>
  <w:style w:type="character" w:customStyle="1" w:styleId="Symbols">
    <w:name w:val="Symbols"/>
    <w:basedOn w:val="DefaultParagraphFont"/>
    <w:rsid w:val="00456FFC"/>
    <w:rPr>
      <w:rFonts w:ascii="Symbol" w:hAnsi="Symbol"/>
    </w:rPr>
  </w:style>
  <w:style w:type="character" w:customStyle="1" w:styleId="MenuOptions">
    <w:name w:val="Menu Options"/>
    <w:basedOn w:val="DefaultParagraphFont"/>
    <w:rsid w:val="00456FFC"/>
    <w:rPr>
      <w:rFonts w:ascii="Arial Narrow" w:hAnsi="Arial Narrow"/>
      <w:smallCaps/>
    </w:rPr>
  </w:style>
  <w:style w:type="character" w:customStyle="1" w:styleId="Buttons">
    <w:name w:val="Buttons"/>
    <w:basedOn w:val="DefaultParagraphFont"/>
    <w:rsid w:val="00456FFC"/>
    <w:rPr>
      <w:b/>
    </w:rPr>
  </w:style>
  <w:style w:type="character" w:customStyle="1" w:styleId="Underlined">
    <w:name w:val="Underlined"/>
    <w:basedOn w:val="DefaultParagraphFont"/>
    <w:rsid w:val="00456FFC"/>
    <w:rPr>
      <w:u w:val="single"/>
    </w:rPr>
  </w:style>
  <w:style w:type="paragraph" w:customStyle="1" w:styleId="TableBodyTextRight">
    <w:name w:val="Table Body Text Right"/>
    <w:basedOn w:val="TableBodyText"/>
    <w:rsid w:val="00456FFC"/>
    <w:pPr>
      <w:widowControl w:val="0"/>
      <w:autoSpaceDE w:val="0"/>
      <w:autoSpaceDN w:val="0"/>
      <w:adjustRightInd w:val="0"/>
      <w:jc w:val="right"/>
    </w:pPr>
    <w:rPr>
      <w:rFonts w:cs="Arial"/>
      <w:szCs w:val="18"/>
    </w:rPr>
  </w:style>
  <w:style w:type="paragraph" w:customStyle="1" w:styleId="CopyrightText">
    <w:name w:val="Copyright Text"/>
    <w:basedOn w:val="BodyText"/>
    <w:rsid w:val="00456FFC"/>
    <w:rPr>
      <w:sz w:val="18"/>
    </w:rPr>
  </w:style>
  <w:style w:type="paragraph" w:customStyle="1" w:styleId="BodySmallRight">
    <w:name w:val="Body Small Right"/>
    <w:basedOn w:val="BodyTextRight"/>
    <w:rsid w:val="00456FFC"/>
    <w:rPr>
      <w:sz w:val="18"/>
      <w:szCs w:val="18"/>
    </w:rPr>
  </w:style>
  <w:style w:type="paragraph" w:customStyle="1" w:styleId="MarginEdition">
    <w:name w:val="Margin Edition"/>
    <w:basedOn w:val="MarginNote"/>
    <w:rsid w:val="00456FFC"/>
    <w:pPr>
      <w:spacing w:before="0" w:after="0"/>
    </w:pPr>
    <w:rPr>
      <w:rFonts w:ascii="Times New Roman" w:hAnsi="Times New Roman"/>
      <w:color w:val="999999"/>
    </w:rPr>
  </w:style>
  <w:style w:type="paragraph" w:customStyle="1" w:styleId="Spacer">
    <w:name w:val="Spacer"/>
    <w:basedOn w:val="Normal"/>
    <w:rsid w:val="00456FFC"/>
    <w:rPr>
      <w:sz w:val="2"/>
      <w:szCs w:val="2"/>
    </w:rPr>
  </w:style>
  <w:style w:type="character" w:customStyle="1" w:styleId="Small">
    <w:name w:val="Small"/>
    <w:basedOn w:val="DefaultParagraphFont"/>
    <w:rsid w:val="00456FFC"/>
    <w:rPr>
      <w:sz w:val="16"/>
    </w:rPr>
  </w:style>
  <w:style w:type="paragraph" w:customStyle="1" w:styleId="WideTable">
    <w:name w:val="Wide Table"/>
    <w:basedOn w:val="Normal"/>
    <w:rsid w:val="00456FFC"/>
    <w:pPr>
      <w:ind w:left="-1418"/>
    </w:pPr>
    <w:rPr>
      <w:sz w:val="2"/>
      <w:szCs w:val="2"/>
    </w:rPr>
  </w:style>
  <w:style w:type="character" w:styleId="PageNumber">
    <w:name w:val="page number"/>
    <w:basedOn w:val="DefaultParagraphFont"/>
    <w:rsid w:val="00456FFC"/>
  </w:style>
  <w:style w:type="paragraph" w:styleId="Quote">
    <w:name w:val="Quote"/>
    <w:basedOn w:val="Heading1"/>
    <w:link w:val="QuoteChar"/>
    <w:qFormat/>
    <w:rsid w:val="00456FFC"/>
    <w:rPr>
      <w:b w:val="0"/>
      <w:sz w:val="72"/>
      <w:szCs w:val="72"/>
      <w:lang w:val="en-NZ"/>
    </w:rPr>
  </w:style>
  <w:style w:type="character" w:customStyle="1" w:styleId="QuoteChar">
    <w:name w:val="Quote Char"/>
    <w:basedOn w:val="DefaultParagraphFont"/>
    <w:link w:val="Quote"/>
    <w:rsid w:val="00456F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FFC"/>
    <w:pPr>
      <w:pageBreakBefore/>
    </w:pPr>
  </w:style>
  <w:style w:type="paragraph" w:customStyle="1" w:styleId="Border">
    <w:name w:val="Border"/>
    <w:basedOn w:val="Normal"/>
    <w:qFormat/>
    <w:rsid w:val="00456F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FFC"/>
    <w:rPr>
      <w:b/>
      <w:bCs/>
      <w:i/>
      <w:iCs/>
      <w:color w:val="auto"/>
    </w:rPr>
  </w:style>
  <w:style w:type="paragraph" w:styleId="IntenseQuote">
    <w:name w:val="Intense Quote"/>
    <w:basedOn w:val="Normal"/>
    <w:next w:val="Normal"/>
    <w:link w:val="IntenseQuoteChar"/>
    <w:uiPriority w:val="30"/>
    <w:qFormat/>
    <w:rsid w:val="00456F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F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FFC"/>
    <w:rPr>
      <w:smallCaps/>
      <w:color w:val="auto"/>
      <w:u w:val="single"/>
    </w:rPr>
  </w:style>
  <w:style w:type="character" w:styleId="IntenseReference">
    <w:name w:val="Intense Reference"/>
    <w:basedOn w:val="DefaultParagraphFont"/>
    <w:uiPriority w:val="32"/>
    <w:qFormat/>
    <w:rsid w:val="00456FFC"/>
    <w:rPr>
      <w:b/>
      <w:bCs/>
      <w:smallCaps/>
      <w:color w:val="auto"/>
      <w:spacing w:val="5"/>
      <w:u w:val="single"/>
    </w:rPr>
  </w:style>
  <w:style w:type="paragraph" w:customStyle="1" w:styleId="2ColumnHeading">
    <w:name w:val="2Column Heading"/>
    <w:basedOn w:val="BodyText"/>
    <w:qFormat/>
    <w:rsid w:val="00456FFC"/>
    <w:pPr>
      <w:spacing w:after="60"/>
      <w:ind w:left="-2268"/>
    </w:pPr>
    <w:rPr>
      <w:b/>
    </w:rPr>
  </w:style>
  <w:style w:type="paragraph" w:customStyle="1" w:styleId="Heading1TOC">
    <w:name w:val="Heading1 TOC"/>
    <w:basedOn w:val="Normal"/>
    <w:qFormat/>
    <w:rsid w:val="00456FFC"/>
    <w:pPr>
      <w:spacing w:before="240" w:after="120"/>
    </w:pPr>
    <w:rPr>
      <w:rFonts w:ascii="Times New Roman" w:hAnsi="Times New Roman"/>
      <w:b/>
      <w:sz w:val="32"/>
    </w:rPr>
  </w:style>
  <w:style w:type="paragraph" w:customStyle="1" w:styleId="Heading2TOC">
    <w:name w:val="Heading2 TOC"/>
    <w:basedOn w:val="Normal"/>
    <w:qFormat/>
    <w:rsid w:val="00456FFC"/>
    <w:pPr>
      <w:spacing w:before="240" w:after="60"/>
    </w:pPr>
    <w:rPr>
      <w:rFonts w:ascii="Times New Roman" w:hAnsi="Times New Roman"/>
      <w:b/>
      <w:sz w:val="28"/>
    </w:rPr>
  </w:style>
  <w:style w:type="character" w:customStyle="1" w:styleId="Underline">
    <w:name w:val="Underline"/>
    <w:basedOn w:val="DefaultParagraphFont"/>
    <w:qFormat/>
    <w:rsid w:val="00456FFC"/>
    <w:rPr>
      <w:u w:val="single"/>
    </w:rPr>
  </w:style>
  <w:style w:type="paragraph" w:styleId="BalloonText">
    <w:name w:val="Balloon Text"/>
    <w:basedOn w:val="Normal"/>
    <w:link w:val="BalloonTextChar"/>
    <w:rsid w:val="00456FFC"/>
    <w:rPr>
      <w:rFonts w:ascii="Tahoma" w:hAnsi="Tahoma" w:cs="Tahoma"/>
      <w:sz w:val="16"/>
      <w:szCs w:val="16"/>
    </w:rPr>
  </w:style>
  <w:style w:type="character" w:customStyle="1" w:styleId="BalloonTextChar">
    <w:name w:val="Balloon Text Char"/>
    <w:basedOn w:val="DefaultParagraphFont"/>
    <w:link w:val="BalloonText"/>
    <w:rsid w:val="00456F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F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6F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FFC"/>
    <w:rPr>
      <w:b/>
      <w:color w:val="660033"/>
      <w:spacing w:val="0"/>
    </w:rPr>
  </w:style>
  <w:style w:type="paragraph" w:customStyle="1" w:styleId="Nameditemlist">
    <w:name w:val="Named item list"/>
    <w:basedOn w:val="BodyText"/>
    <w:qFormat/>
    <w:rsid w:val="00456FFC"/>
    <w:pPr>
      <w:tabs>
        <w:tab w:val="left" w:pos="2835"/>
      </w:tabs>
      <w:ind w:left="2835" w:hanging="2835"/>
    </w:pPr>
  </w:style>
  <w:style w:type="paragraph" w:customStyle="1" w:styleId="BodyTextnopadding">
    <w:name w:val="Body Text no padding"/>
    <w:basedOn w:val="BodyText"/>
    <w:qFormat/>
    <w:rsid w:val="00456FFC"/>
    <w:pPr>
      <w:spacing w:before="0" w:after="0"/>
    </w:pPr>
  </w:style>
  <w:style w:type="paragraph" w:customStyle="1" w:styleId="BodyTextBold">
    <w:name w:val="Body Text Bold"/>
    <w:basedOn w:val="BodyText"/>
    <w:qFormat/>
    <w:rsid w:val="00456FFC"/>
    <w:rPr>
      <w:b/>
    </w:rPr>
  </w:style>
  <w:style w:type="character" w:styleId="Hyperlink">
    <w:name w:val="Hyperlink"/>
    <w:basedOn w:val="DefaultParagraphFont"/>
    <w:uiPriority w:val="99"/>
    <w:unhideWhenUsed/>
    <w:rsid w:val="002245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5330</Characters>
  <Application>Microsoft Office Word</Application>
  <DocSecurity>0</DocSecurity>
  <Lines>197</Lines>
  <Paragraphs>107</Paragraphs>
  <ScaleCrop>false</ScaleCrop>
  <Company>Author-it Software Corporation Ltd.</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CPPBDN4002 Research and apply compliance requirements to technical construction documentation</dc:title>
  <dc:subject>Approved</dc:subject>
  <dc:creator>Artibus Innovation</dc:creator>
  <cp:keywords>Release: 1</cp:keywords>
  <dc:description>Review Date: 12 April 2008</dc:description>
  <cp:lastModifiedBy>HSD_TPCMSd.prod</cp:lastModifiedBy>
  <cp:revision>3</cp:revision>
  <dcterms:created xsi:type="dcterms:W3CDTF">2020-07-07T03:44:00Z</dcterms:created>
  <dcterms:modified xsi:type="dcterms:W3CDTF">2020-07-07T03:44:00Z</dcterms:modified>
</cp:coreProperties>
</file>