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459D" w:rsidP="00F2459D">
      <w:pPr>
        <w:pStyle w:val="Title"/>
      </w:pPr>
      <w:r>
        <w:fldChar w:fldCharType="begin"/>
      </w:r>
      <w:r>
        <w:instrText xml:space="preserve"> TITLE   \* MERGEFORMAT </w:instrText>
      </w:r>
      <w:r>
        <w:fldChar w:fldCharType="separate"/>
      </w:r>
      <w:r>
        <w:t>CPPBDN4002 Research and apply compliance requirements to technical construction documentation</w:t>
      </w:r>
      <w:r>
        <w:fldChar w:fldCharType="end"/>
      </w:r>
    </w:p>
    <w:p w:rsidR="00F2459D" w:rsidP="00F2459D">
      <w:pPr>
        <w:pStyle w:val="Version"/>
        <w:sectPr w:rsidSect="00D775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75D5" w:rsidP="00D775D5">
      <w:pPr>
        <w:pStyle w:val="SuperHeading"/>
      </w:pPr>
      <w:r w:rsidRPr="00D775D5">
        <w:t>CPPBDN4002 Research and apply compliance requirements to technical construction documentation</w:t>
      </w:r>
    </w:p>
    <w:p w:rsidR="00000000" w:rsidRPr="00D775D5" w:rsidP="00D775D5">
      <w:pPr>
        <w:pStyle w:val="Heading1"/>
      </w:pPr>
      <w:bookmarkStart w:id="1" w:name="O_660822"/>
      <w:bookmarkEnd w:id="1"/>
      <w:r w:rsidRPr="00D775D5">
        <w:t>Modification History</w:t>
      </w:r>
    </w:p>
    <w:p w:rsidR="00000000" w:rsidRPr="00D775D5" w:rsidP="00F2459D">
      <w:pPr>
        <w:pStyle w:val="BodyText"/>
      </w:pPr>
      <w:r w:rsidRPr="00D775D5">
        <w:t>Release 1.  New unit.</w:t>
      </w:r>
    </w:p>
    <w:p w:rsidR="00000000" w:rsidRPr="00D775D5" w:rsidP="00F2459D">
      <w:pPr>
        <w:pStyle w:val="BodyText"/>
      </w:pPr>
      <w:r w:rsidRPr="00D775D5">
        <w:t>This version first released with CPP Property Services Training Package Version 1.</w:t>
      </w:r>
    </w:p>
    <w:p w:rsidR="00000000" w:rsidRPr="00D775D5" w:rsidP="00D775D5">
      <w:pPr>
        <w:pStyle w:val="Heading1"/>
      </w:pPr>
      <w:bookmarkStart w:id="2" w:name="O_660823"/>
      <w:bookmarkEnd w:id="2"/>
      <w:r w:rsidRPr="00D775D5">
        <w:t>Application</w:t>
      </w:r>
    </w:p>
    <w:p w:rsidR="00000000" w:rsidRPr="00D775D5" w:rsidP="00F2459D">
      <w:pPr>
        <w:pStyle w:val="BodyText"/>
      </w:pPr>
      <w:r w:rsidRPr="00D775D5">
        <w:t xml:space="preserve">This unit of competency specifies the outcomes required to research and apply compliance requirements to building design documentation for residential, commercial and industrial buildings, as defined in the Building Code of Australia (BCA). </w:t>
      </w:r>
    </w:p>
    <w:p w:rsidR="00000000" w:rsidRPr="00D775D5" w:rsidP="00F2459D">
      <w:pPr>
        <w:pStyle w:val="BodyText"/>
      </w:pPr>
      <w:r w:rsidRPr="00D775D5">
        <w:t>T</w:t>
      </w:r>
      <w:r w:rsidRPr="00D775D5">
        <w:t>he unit applies to additions and renovations to a range of different types of new buildings and existing structures. It supports drafters who assist, and work under the supervision and instruction of an architect or building designer; and who take responsi</w:t>
      </w:r>
      <w:r w:rsidRPr="00D775D5">
        <w:t>bility, at the level appropriate to their role, for ensuring that building design documentation complies with current and relevant legislation, codes and standards, including the National Construction Code (NCC) and local authority planning schemes.</w:t>
      </w:r>
    </w:p>
    <w:p w:rsidR="00000000" w:rsidRPr="00D775D5" w:rsidP="00F2459D">
      <w:pPr>
        <w:pStyle w:val="BodyText"/>
      </w:pPr>
      <w:r w:rsidRPr="00D775D5">
        <w:t>Licen</w:t>
      </w:r>
      <w:r w:rsidRPr="00D775D5">
        <w:t>sing, legislative, regulatory or certification requirements apply to building design drafting in some states. Relevant state and territory regulatory authorities should be consulted to confirm those requirements.</w:t>
      </w:r>
    </w:p>
    <w:p w:rsidR="00000000" w:rsidRPr="00D775D5" w:rsidP="00D775D5">
      <w:pPr>
        <w:pStyle w:val="Heading1"/>
      </w:pPr>
      <w:bookmarkStart w:id="3" w:name="O_660824"/>
      <w:bookmarkEnd w:id="3"/>
      <w:r w:rsidRPr="00D775D5">
        <w:t>Pre-requisite Unit</w:t>
      </w:r>
    </w:p>
    <w:p w:rsidR="00000000" w:rsidRPr="00D775D5" w:rsidP="00F2459D">
      <w:pPr>
        <w:pStyle w:val="BodyText"/>
      </w:pPr>
      <w:r w:rsidRPr="00D775D5">
        <w:t>Nil</w:t>
      </w:r>
    </w:p>
    <w:p w:rsidR="00000000" w:rsidRPr="00D775D5" w:rsidP="00D775D5">
      <w:pPr>
        <w:pStyle w:val="Heading1"/>
      </w:pPr>
      <w:bookmarkStart w:id="4" w:name="O_660825"/>
      <w:bookmarkEnd w:id="4"/>
      <w:r w:rsidRPr="00D775D5">
        <w:t>Competency Field</w:t>
      </w:r>
    </w:p>
    <w:p w:rsidR="00000000" w:rsidRPr="00D775D5" w:rsidP="00F2459D">
      <w:pPr>
        <w:pStyle w:val="BodyText"/>
      </w:pPr>
      <w:r w:rsidRPr="00D775D5">
        <w:t>Drafting</w:t>
      </w:r>
    </w:p>
    <w:p w:rsidR="00000000" w:rsidRPr="00D775D5" w:rsidP="00D775D5">
      <w:pPr>
        <w:pStyle w:val="Heading1"/>
      </w:pPr>
      <w:bookmarkStart w:id="5" w:name="O_660826"/>
      <w:bookmarkEnd w:id="5"/>
      <w:r w:rsidRPr="00D775D5">
        <w:t>Unit Sector</w:t>
      </w:r>
    </w:p>
    <w:p w:rsidR="00000000" w:rsidRPr="00D775D5" w:rsidP="00F2459D">
      <w:pPr>
        <w:pStyle w:val="BodyText"/>
      </w:pPr>
      <w:r w:rsidRPr="00D775D5">
        <w:t>Building design</w:t>
      </w:r>
    </w:p>
    <w:p w:rsidR="00000000" w:rsidRPr="00D775D5" w:rsidP="00D775D5">
      <w:pPr>
        <w:pStyle w:val="Heading1"/>
      </w:pPr>
      <w:bookmarkStart w:id="6" w:name="O_660827"/>
      <w:bookmarkEnd w:id="6"/>
      <w:r w:rsidRPr="00D775D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775D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775D5">
            <w:pPr>
              <w:pStyle w:val="BodyText"/>
              <w:rPr>
                <w:lang w:val="en-NZ"/>
              </w:rPr>
            </w:pPr>
            <w:r w:rsidRPr="00D775D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775D5">
            <w:pPr>
              <w:pStyle w:val="BodyText"/>
              <w:rPr>
                <w:lang w:val="en-NZ"/>
              </w:rPr>
            </w:pPr>
            <w:r w:rsidRPr="00D775D5">
              <w:t>Performance criteria describe the performance needed to demonstrate achieveme</w:t>
            </w:r>
            <w:r w:rsidRPr="00D775D5">
              <w:t>nt of the element. Where bold italicised text is used, further information is detailed in the range of conditions.</w:t>
            </w:r>
          </w:p>
        </w:tc>
      </w:tr>
      <w:tr w:rsidTr="00D775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775D5">
            <w:pPr>
              <w:pStyle w:val="BodyText"/>
              <w:rPr>
                <w:lang w:val="en-NZ"/>
              </w:rPr>
            </w:pPr>
            <w:r w:rsidRPr="00D775D5">
              <w:t>1.</w:t>
            </w:r>
          </w:p>
        </w:tc>
        <w:tc>
          <w:tcPr>
            <w:tcW w:w="1962" w:type="dxa"/>
            <w:vMerge w:val="restart"/>
            <w:tcBorders>
              <w:top w:val="nil"/>
              <w:left w:val="nil"/>
              <w:bottom w:val="nil"/>
              <w:right w:val="nil"/>
            </w:tcBorders>
            <w:tcMar>
              <w:top w:w="0" w:type="dxa"/>
              <w:left w:w="62" w:type="dxa"/>
              <w:bottom w:w="0" w:type="dxa"/>
              <w:right w:w="62" w:type="dxa"/>
            </w:tcMar>
          </w:tcPr>
          <w:p w:rsidR="00000000" w:rsidP="00D775D5">
            <w:pPr>
              <w:pStyle w:val="BodyText"/>
              <w:rPr>
                <w:lang w:val="en-NZ"/>
              </w:rPr>
            </w:pPr>
            <w:r w:rsidRPr="00D775D5">
              <w:t xml:space="preserve">Research building design project compliance </w:t>
            </w:r>
            <w:r w:rsidRPr="00D775D5">
              <w:t>requirements.</w:t>
            </w:r>
          </w:p>
        </w:tc>
        <w:tc>
          <w:tcPr>
            <w:tcW w:w="770" w:type="dxa"/>
            <w:tcBorders>
              <w:top w:val="nil"/>
              <w:left w:val="nil"/>
              <w:bottom w:val="nil"/>
              <w:right w:val="nil"/>
            </w:tcBorders>
            <w:tcMar>
              <w:top w:w="0" w:type="dxa"/>
              <w:left w:w="62" w:type="dxa"/>
              <w:bottom w:w="0" w:type="dxa"/>
              <w:right w:w="62" w:type="dxa"/>
            </w:tcMar>
          </w:tcPr>
          <w:p w:rsidR="00000000" w:rsidRPr="00D775D5" w:rsidP="00D775D5">
            <w:pPr>
              <w:pStyle w:val="BodyText"/>
            </w:pPr>
            <w:r w:rsidRPr="00D775D5">
              <w:t>1.1.</w:t>
            </w:r>
          </w:p>
        </w:tc>
        <w:tc>
          <w:tcPr>
            <w:tcW w:w="5610" w:type="dxa"/>
            <w:tcBorders>
              <w:top w:val="nil"/>
              <w:left w:val="nil"/>
              <w:bottom w:val="nil"/>
              <w:right w:val="nil"/>
            </w:tcBorders>
            <w:tcMar>
              <w:top w:w="0" w:type="dxa"/>
              <w:left w:w="62" w:type="dxa"/>
              <w:bottom w:w="0" w:type="dxa"/>
              <w:right w:w="62" w:type="dxa"/>
            </w:tcMar>
          </w:tcPr>
          <w:p w:rsidR="00000000" w:rsidP="00D775D5">
            <w:pPr>
              <w:pStyle w:val="BodyText"/>
              <w:rPr>
                <w:lang w:val="en-NZ"/>
              </w:rPr>
            </w:pPr>
            <w:r w:rsidRPr="00D775D5">
              <w:rPr>
                <w:rStyle w:val="BoldandItalics"/>
              </w:rPr>
              <w:t>Legislation, codes and standards</w:t>
            </w:r>
            <w:r w:rsidRPr="00D775D5">
              <w:t xml:space="preserve"> relating to the compliance of specific building design project are accessed, and variations in requirements are interpreted </w:t>
            </w:r>
            <w:r w:rsidRPr="00D775D5">
              <w:t>and noted.</w:t>
            </w:r>
          </w:p>
        </w:tc>
      </w:tr>
      <w:tr w:rsidTr="00D775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775D5" w:rsidP="00D775D5">
            <w:pPr>
              <w:pStyle w:val="BodyText"/>
            </w:pPr>
            <w:r w:rsidRPr="00D775D5">
              <w:t>1.2.</w:t>
            </w:r>
          </w:p>
        </w:tc>
        <w:tc>
          <w:tcPr>
            <w:tcW w:w="5610" w:type="dxa"/>
            <w:tcBorders>
              <w:top w:val="nil"/>
              <w:left w:val="nil"/>
              <w:bottom w:val="nil"/>
              <w:right w:val="nil"/>
            </w:tcBorders>
            <w:tcMar>
              <w:top w:w="0" w:type="dxa"/>
              <w:left w:w="62" w:type="dxa"/>
              <w:bottom w:w="0" w:type="dxa"/>
              <w:right w:w="62" w:type="dxa"/>
            </w:tcMar>
          </w:tcPr>
          <w:p w:rsidR="00000000" w:rsidP="00D775D5">
            <w:pPr>
              <w:pStyle w:val="BodyText"/>
              <w:rPr>
                <w:lang w:val="en-NZ"/>
              </w:rPr>
            </w:pPr>
            <w:r w:rsidRPr="00D775D5">
              <w:rPr>
                <w:rStyle w:val="BoldandItalics"/>
              </w:rPr>
              <w:t>Compliance requirements</w:t>
            </w:r>
            <w:r w:rsidRPr="00D775D5">
              <w:t xml:space="preserve"> for designs in different project locations and different conditions are researched, and </w:t>
            </w:r>
            <w:r w:rsidRPr="00D775D5">
              <w:t>variations in requirements are interpreted and noted.</w:t>
            </w:r>
          </w:p>
        </w:tc>
      </w:tr>
      <w:tr w:rsidTr="00D775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75D5">
            <w:pPr>
              <w:pStyle w:val="BodyText"/>
              <w:rPr>
                <w:lang w:val="en-NZ"/>
              </w:rPr>
            </w:pPr>
            <w:r w:rsidRPr="00D775D5">
              <w:t>1.3.</w:t>
            </w:r>
          </w:p>
        </w:tc>
        <w:tc>
          <w:tcPr>
            <w:tcW w:w="5610" w:type="dxa"/>
            <w:tcBorders>
              <w:top w:val="nil"/>
              <w:left w:val="nil"/>
              <w:bottom w:val="nil"/>
              <w:right w:val="nil"/>
            </w:tcBorders>
            <w:tcMar>
              <w:top w:w="0" w:type="dxa"/>
              <w:left w:w="62" w:type="dxa"/>
              <w:bottom w:w="0" w:type="dxa"/>
              <w:right w:w="62" w:type="dxa"/>
            </w:tcMar>
          </w:tcPr>
          <w:p w:rsidR="00000000" w:rsidP="00D775D5">
            <w:pPr>
              <w:pStyle w:val="BodyText"/>
              <w:rPr>
                <w:lang w:val="en-NZ"/>
              </w:rPr>
            </w:pPr>
            <w:r w:rsidRPr="00D775D5">
              <w:t>Research findings are recorded, filed and regularly updated according to workplace procedures.</w:t>
            </w:r>
          </w:p>
        </w:tc>
      </w:tr>
      <w:tr w:rsidTr="00D775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775D5">
            <w:pPr>
              <w:pStyle w:val="BodyText"/>
              <w:rPr>
                <w:lang w:val="en-NZ"/>
              </w:rPr>
            </w:pPr>
            <w:r w:rsidRPr="00D775D5">
              <w:t>2.</w:t>
            </w:r>
          </w:p>
        </w:tc>
        <w:tc>
          <w:tcPr>
            <w:tcW w:w="1962" w:type="dxa"/>
            <w:vMerge w:val="restart"/>
            <w:tcBorders>
              <w:top w:val="nil"/>
              <w:left w:val="nil"/>
              <w:bottom w:val="nil"/>
              <w:right w:val="nil"/>
            </w:tcBorders>
            <w:tcMar>
              <w:top w:w="0" w:type="dxa"/>
              <w:left w:w="62" w:type="dxa"/>
              <w:bottom w:w="0" w:type="dxa"/>
              <w:right w:w="62" w:type="dxa"/>
            </w:tcMar>
          </w:tcPr>
          <w:p w:rsidR="00000000" w:rsidP="00D775D5">
            <w:pPr>
              <w:pStyle w:val="BodyText"/>
              <w:rPr>
                <w:lang w:val="en-NZ"/>
              </w:rPr>
            </w:pPr>
            <w:r w:rsidRPr="00D775D5">
              <w:t>Analyse and interpret implications of compliance requirements.</w:t>
            </w:r>
          </w:p>
        </w:tc>
        <w:tc>
          <w:tcPr>
            <w:tcW w:w="770" w:type="dxa"/>
            <w:tcBorders>
              <w:top w:val="nil"/>
              <w:left w:val="nil"/>
              <w:bottom w:val="nil"/>
              <w:right w:val="nil"/>
            </w:tcBorders>
            <w:tcMar>
              <w:top w:w="0" w:type="dxa"/>
              <w:left w:w="62" w:type="dxa"/>
              <w:bottom w:w="0" w:type="dxa"/>
              <w:right w:w="62" w:type="dxa"/>
            </w:tcMar>
          </w:tcPr>
          <w:p w:rsidR="00000000" w:rsidP="00D775D5">
            <w:pPr>
              <w:pStyle w:val="BodyText"/>
              <w:rPr>
                <w:lang w:val="en-NZ"/>
              </w:rPr>
            </w:pPr>
            <w:r w:rsidRPr="00D775D5">
              <w:t>2.1.</w:t>
            </w:r>
          </w:p>
        </w:tc>
        <w:tc>
          <w:tcPr>
            <w:tcW w:w="5610" w:type="dxa"/>
            <w:tcBorders>
              <w:top w:val="nil"/>
              <w:left w:val="nil"/>
              <w:bottom w:val="nil"/>
              <w:right w:val="nil"/>
            </w:tcBorders>
            <w:tcMar>
              <w:top w:w="0" w:type="dxa"/>
              <w:left w:w="62" w:type="dxa"/>
              <w:bottom w:w="0" w:type="dxa"/>
              <w:right w:w="62" w:type="dxa"/>
            </w:tcMar>
          </w:tcPr>
          <w:p w:rsidR="00000000" w:rsidP="00D775D5">
            <w:pPr>
              <w:pStyle w:val="BodyText"/>
              <w:rPr>
                <w:lang w:val="en-NZ"/>
              </w:rPr>
            </w:pPr>
            <w:r w:rsidRPr="00D775D5">
              <w:t>Ambiguous and conflicting compliance requirements are clarified with relevant professionals.</w:t>
            </w:r>
          </w:p>
        </w:tc>
      </w:tr>
      <w:tr w:rsidTr="00D775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775D5" w:rsidP="00D775D5">
            <w:pPr>
              <w:pStyle w:val="BodyText"/>
            </w:pPr>
            <w:r w:rsidRPr="00D775D5">
              <w:t>2.2.</w:t>
            </w:r>
          </w:p>
        </w:tc>
        <w:tc>
          <w:tcPr>
            <w:tcW w:w="5610" w:type="dxa"/>
            <w:tcBorders>
              <w:top w:val="nil"/>
              <w:left w:val="nil"/>
              <w:bottom w:val="nil"/>
              <w:right w:val="nil"/>
            </w:tcBorders>
            <w:tcMar>
              <w:top w:w="0" w:type="dxa"/>
              <w:left w:w="62" w:type="dxa"/>
              <w:bottom w:w="0" w:type="dxa"/>
              <w:right w:w="62" w:type="dxa"/>
            </w:tcMar>
          </w:tcPr>
          <w:p w:rsidR="00000000" w:rsidP="00D775D5">
            <w:pPr>
              <w:pStyle w:val="BodyText"/>
              <w:rPr>
                <w:lang w:val="en-NZ"/>
              </w:rPr>
            </w:pPr>
            <w:r w:rsidRPr="00D775D5">
              <w:rPr>
                <w:rStyle w:val="BoldandItalics"/>
              </w:rPr>
              <w:t>Constraints</w:t>
            </w:r>
            <w:r w:rsidRPr="00D775D5">
              <w:t xml:space="preserve"> placed on design options due to compliance requirements are identified and discussed with the designer.</w:t>
            </w:r>
          </w:p>
        </w:tc>
      </w:tr>
      <w:tr w:rsidTr="00D775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75D5">
            <w:pPr>
              <w:pStyle w:val="BodyText"/>
              <w:rPr>
                <w:lang w:val="en-NZ"/>
              </w:rPr>
            </w:pPr>
            <w:r w:rsidRPr="00D775D5">
              <w:t>2.3.</w:t>
            </w:r>
          </w:p>
        </w:tc>
        <w:tc>
          <w:tcPr>
            <w:tcW w:w="5610" w:type="dxa"/>
            <w:tcBorders>
              <w:top w:val="nil"/>
              <w:left w:val="nil"/>
              <w:bottom w:val="nil"/>
              <w:right w:val="nil"/>
            </w:tcBorders>
            <w:tcMar>
              <w:top w:w="0" w:type="dxa"/>
              <w:left w:w="62" w:type="dxa"/>
              <w:bottom w:w="0" w:type="dxa"/>
              <w:right w:w="62" w:type="dxa"/>
            </w:tcMar>
          </w:tcPr>
          <w:p w:rsidR="00000000" w:rsidP="00D775D5">
            <w:pPr>
              <w:pStyle w:val="BodyText"/>
              <w:rPr>
                <w:lang w:val="en-NZ"/>
              </w:rPr>
            </w:pPr>
            <w:r w:rsidRPr="00D775D5">
              <w:t>Potential exemptions from compliance with relevant codes are investigated and discussed with designer, and appropriate course of action is noted.</w:t>
            </w:r>
          </w:p>
        </w:tc>
      </w:tr>
      <w:tr w:rsidTr="00D775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75D5">
            <w:pPr>
              <w:pStyle w:val="BodyText"/>
              <w:rPr>
                <w:lang w:val="en-NZ"/>
              </w:rPr>
            </w:pPr>
            <w:r w:rsidRPr="00D775D5">
              <w:t>2.4.</w:t>
            </w:r>
          </w:p>
        </w:tc>
        <w:tc>
          <w:tcPr>
            <w:tcW w:w="5610" w:type="dxa"/>
            <w:tcBorders>
              <w:top w:val="nil"/>
              <w:left w:val="nil"/>
              <w:bottom w:val="nil"/>
              <w:right w:val="nil"/>
            </w:tcBorders>
            <w:tcMar>
              <w:top w:w="0" w:type="dxa"/>
              <w:left w:w="62" w:type="dxa"/>
              <w:bottom w:w="0" w:type="dxa"/>
              <w:right w:w="62" w:type="dxa"/>
            </w:tcMar>
          </w:tcPr>
          <w:p w:rsidR="00000000" w:rsidP="00D775D5">
            <w:pPr>
              <w:pStyle w:val="BodyText"/>
              <w:rPr>
                <w:lang w:val="en-NZ"/>
              </w:rPr>
            </w:pPr>
            <w:r w:rsidRPr="00D775D5">
              <w:t>Processes for obtaining an exemption are identified and actioned as required.</w:t>
            </w:r>
          </w:p>
        </w:tc>
      </w:tr>
      <w:tr w:rsidTr="00D775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775D5">
            <w:pPr>
              <w:pStyle w:val="BodyText"/>
              <w:rPr>
                <w:lang w:val="en-NZ"/>
              </w:rPr>
            </w:pPr>
            <w:r w:rsidRPr="00D775D5">
              <w:t>3.</w:t>
            </w:r>
          </w:p>
        </w:tc>
        <w:tc>
          <w:tcPr>
            <w:tcW w:w="1962" w:type="dxa"/>
            <w:vMerge w:val="restart"/>
            <w:tcBorders>
              <w:top w:val="nil"/>
              <w:left w:val="nil"/>
              <w:bottom w:val="nil"/>
              <w:right w:val="nil"/>
            </w:tcBorders>
            <w:tcMar>
              <w:top w:w="0" w:type="dxa"/>
              <w:left w:w="62" w:type="dxa"/>
              <w:bottom w:w="0" w:type="dxa"/>
              <w:right w:w="62" w:type="dxa"/>
            </w:tcMar>
          </w:tcPr>
          <w:p w:rsidR="00000000" w:rsidP="00D775D5">
            <w:pPr>
              <w:pStyle w:val="BodyText"/>
              <w:rPr>
                <w:lang w:val="en-NZ"/>
              </w:rPr>
            </w:pPr>
            <w:r w:rsidRPr="00D775D5">
              <w:t>Review and action co</w:t>
            </w:r>
            <w:r w:rsidRPr="00D775D5">
              <w:t>mpliance requirements.</w:t>
            </w:r>
          </w:p>
        </w:tc>
        <w:tc>
          <w:tcPr>
            <w:tcW w:w="770" w:type="dxa"/>
            <w:tcBorders>
              <w:top w:val="nil"/>
              <w:left w:val="nil"/>
              <w:bottom w:val="nil"/>
              <w:right w:val="nil"/>
            </w:tcBorders>
            <w:tcMar>
              <w:top w:w="0" w:type="dxa"/>
              <w:left w:w="62" w:type="dxa"/>
              <w:bottom w:w="0" w:type="dxa"/>
              <w:right w:w="62" w:type="dxa"/>
            </w:tcMar>
          </w:tcPr>
          <w:p w:rsidR="00000000" w:rsidP="00D775D5">
            <w:pPr>
              <w:pStyle w:val="BodyText"/>
              <w:rPr>
                <w:lang w:val="en-NZ"/>
              </w:rPr>
            </w:pPr>
            <w:r w:rsidRPr="00D775D5">
              <w:t>3.1.</w:t>
            </w:r>
          </w:p>
        </w:tc>
        <w:tc>
          <w:tcPr>
            <w:tcW w:w="5610" w:type="dxa"/>
            <w:tcBorders>
              <w:top w:val="nil"/>
              <w:left w:val="nil"/>
              <w:bottom w:val="nil"/>
              <w:right w:val="nil"/>
            </w:tcBorders>
            <w:tcMar>
              <w:top w:w="0" w:type="dxa"/>
              <w:left w:w="62" w:type="dxa"/>
              <w:bottom w:w="0" w:type="dxa"/>
              <w:right w:w="62" w:type="dxa"/>
            </w:tcMar>
          </w:tcPr>
          <w:p w:rsidR="00000000" w:rsidP="00D775D5">
            <w:pPr>
              <w:pStyle w:val="BodyText"/>
              <w:rPr>
                <w:lang w:val="en-NZ"/>
              </w:rPr>
            </w:pPr>
            <w:r w:rsidRPr="00D775D5">
              <w:t>Technical construction documentation is reviewed for compliance with relevant legislation, codes and standards according to designer’s instructions.</w:t>
            </w:r>
          </w:p>
        </w:tc>
      </w:tr>
      <w:tr w:rsidTr="00D775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75D5">
            <w:pPr>
              <w:pStyle w:val="BodyText"/>
              <w:rPr>
                <w:lang w:val="en-NZ"/>
              </w:rPr>
            </w:pPr>
            <w:r w:rsidRPr="00D775D5">
              <w:t>3.2.</w:t>
            </w:r>
          </w:p>
        </w:tc>
        <w:tc>
          <w:tcPr>
            <w:tcW w:w="5610" w:type="dxa"/>
            <w:tcBorders>
              <w:top w:val="nil"/>
              <w:left w:val="nil"/>
              <w:bottom w:val="nil"/>
              <w:right w:val="nil"/>
            </w:tcBorders>
            <w:tcMar>
              <w:top w:w="0" w:type="dxa"/>
              <w:left w:w="62" w:type="dxa"/>
              <w:bottom w:w="0" w:type="dxa"/>
              <w:right w:w="62" w:type="dxa"/>
            </w:tcMar>
          </w:tcPr>
          <w:p w:rsidR="00000000" w:rsidP="00D775D5">
            <w:pPr>
              <w:pStyle w:val="BodyText"/>
              <w:rPr>
                <w:lang w:val="en-NZ"/>
              </w:rPr>
            </w:pPr>
            <w:r w:rsidRPr="00D775D5">
              <w:t>Non-compliance issues are noted and discussed with designer and required amendments are identified.</w:t>
            </w:r>
          </w:p>
        </w:tc>
      </w:tr>
      <w:tr w:rsidTr="00D775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75D5">
            <w:pPr>
              <w:pStyle w:val="BodyText"/>
              <w:rPr>
                <w:lang w:val="en-NZ"/>
              </w:rPr>
            </w:pPr>
            <w:r w:rsidRPr="00D775D5">
              <w:t>3.3.</w:t>
            </w:r>
          </w:p>
        </w:tc>
        <w:tc>
          <w:tcPr>
            <w:tcW w:w="5610" w:type="dxa"/>
            <w:tcBorders>
              <w:top w:val="nil"/>
              <w:left w:val="nil"/>
              <w:bottom w:val="nil"/>
              <w:right w:val="nil"/>
            </w:tcBorders>
            <w:tcMar>
              <w:top w:w="0" w:type="dxa"/>
              <w:left w:w="62" w:type="dxa"/>
              <w:bottom w:w="0" w:type="dxa"/>
              <w:right w:w="62" w:type="dxa"/>
            </w:tcMar>
          </w:tcPr>
          <w:p w:rsidR="00000000" w:rsidRPr="00D775D5" w:rsidP="00D775D5">
            <w:pPr>
              <w:pStyle w:val="BodyText"/>
            </w:pPr>
            <w:r w:rsidRPr="00D775D5">
              <w:t>Amendments or modifications to plans and technical documentation are made to ensure compliance with relevant legislation, codes and standards.</w:t>
            </w:r>
          </w:p>
        </w:tc>
      </w:tr>
    </w:tbl>
    <w:p w:rsidR="00000000" w:rsidRPr="00D775D5" w:rsidP="00D775D5">
      <w:pPr>
        <w:pStyle w:val="BodyText"/>
      </w:pPr>
    </w:p>
    <w:p w:rsidR="00000000" w:rsidRPr="00D775D5" w:rsidP="00D775D5">
      <w:pPr>
        <w:pStyle w:val="AllowPageBreak"/>
      </w:pPr>
    </w:p>
    <w:p w:rsidR="00000000" w:rsidRPr="00D775D5" w:rsidP="00D775D5">
      <w:pPr>
        <w:pStyle w:val="Heading1"/>
      </w:pPr>
      <w:bookmarkStart w:id="7" w:name="O_660828"/>
      <w:bookmarkEnd w:id="7"/>
      <w:r w:rsidRPr="00D775D5">
        <w:t>Foundation Skills</w:t>
      </w:r>
    </w:p>
    <w:tbl>
      <w:tblPr>
        <w:tblW w:w="0" w:type="auto"/>
        <w:tblCellMar>
          <w:left w:w="62" w:type="dxa"/>
          <w:right w:w="62" w:type="dxa"/>
        </w:tblCellMar>
        <w:tblLook w:val="0000"/>
      </w:tblPr>
      <w:tblGrid>
        <w:gridCol w:w="2163"/>
        <w:gridCol w:w="7033"/>
      </w:tblGrid>
      <w:tr w:rsidTr="00F2459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775D5">
            <w:pPr>
              <w:pStyle w:val="BodyText"/>
              <w:rPr>
                <w:lang w:val="en-NZ"/>
              </w:rPr>
            </w:pPr>
            <w:r w:rsidRPr="00D775D5">
              <w:t>This section describes core skills that are essential to performance and not explicit in the performance criteria.  Employment skills essential to performance are explicit in the performance criteria of this unit of competen</w:t>
            </w:r>
            <w:r w:rsidRPr="00D775D5">
              <w:t>cy.</w:t>
            </w:r>
          </w:p>
        </w:tc>
      </w:tr>
      <w:tr w:rsidTr="00F245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775D5" w:rsidP="00D775D5">
            <w:pPr>
              <w:pStyle w:val="BodyText"/>
            </w:pPr>
            <w:r w:rsidRPr="00D775D5">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D775D5">
            <w:pPr>
              <w:pStyle w:val="BodyText"/>
              <w:rPr>
                <w:lang w:val="en-NZ"/>
              </w:rPr>
            </w:pPr>
            <w:r w:rsidRPr="00D775D5">
              <w:rPr>
                <w:rStyle w:val="SpecialBold"/>
              </w:rPr>
              <w:t>Performance feature</w:t>
            </w:r>
          </w:p>
        </w:tc>
      </w:tr>
      <w:tr w:rsidTr="00F245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75D5">
            <w:pPr>
              <w:pStyle w:val="BodyText"/>
              <w:rPr>
                <w:lang w:val="en-NZ"/>
              </w:rPr>
            </w:pPr>
            <w:r w:rsidRPr="00D775D5">
              <w:t>Learning skills to:</w:t>
            </w:r>
          </w:p>
        </w:tc>
        <w:tc>
          <w:tcPr>
            <w:tcW w:w="0" w:type="auto"/>
            <w:tcBorders>
              <w:top w:val="nil"/>
              <w:left w:val="nil"/>
              <w:bottom w:val="nil"/>
              <w:right w:val="nil"/>
            </w:tcBorders>
            <w:tcMar>
              <w:top w:w="0" w:type="dxa"/>
              <w:left w:w="62" w:type="dxa"/>
              <w:bottom w:w="0" w:type="dxa"/>
              <w:right w:w="62" w:type="dxa"/>
            </w:tcMar>
          </w:tcPr>
          <w:p w:rsidR="00000000" w:rsidRPr="00D775D5" w:rsidP="00D775D5">
            <w:pPr>
              <w:pStyle w:val="ListBullet"/>
            </w:pPr>
            <w:r w:rsidRPr="00D775D5">
              <w:t>access a range of resources, information and support, including the BCA, to assist in developing own understanding of compliance requirements relating to construction documentation</w:t>
            </w:r>
          </w:p>
          <w:p w:rsidR="00000000" w:rsidP="00D775D5">
            <w:pPr>
              <w:pStyle w:val="ListBullet"/>
              <w:rPr>
                <w:lang w:val="en-NZ"/>
              </w:rPr>
            </w:pPr>
            <w:r w:rsidRPr="00D775D5">
              <w:t>draw on experience in compliance research and apply to analysis of different building design projects.</w:t>
            </w:r>
          </w:p>
        </w:tc>
      </w:tr>
      <w:tr w:rsidTr="00F245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75D5">
            <w:pPr>
              <w:pStyle w:val="BodyText"/>
              <w:rPr>
                <w:lang w:val="en-NZ"/>
              </w:rPr>
            </w:pPr>
            <w:r w:rsidRPr="00D775D5">
              <w:t>Numeracy skills to:</w:t>
            </w:r>
          </w:p>
        </w:tc>
        <w:tc>
          <w:tcPr>
            <w:tcW w:w="0" w:type="auto"/>
            <w:tcBorders>
              <w:top w:val="nil"/>
              <w:left w:val="nil"/>
              <w:bottom w:val="nil"/>
              <w:right w:val="nil"/>
            </w:tcBorders>
            <w:tcMar>
              <w:top w:w="0" w:type="dxa"/>
              <w:left w:w="62" w:type="dxa"/>
              <w:bottom w:w="0" w:type="dxa"/>
              <w:right w:w="62" w:type="dxa"/>
            </w:tcMar>
          </w:tcPr>
          <w:p w:rsidR="00000000" w:rsidP="00D775D5">
            <w:pPr>
              <w:pStyle w:val="ListBullet"/>
              <w:rPr>
                <w:lang w:val="en-NZ"/>
              </w:rPr>
            </w:pPr>
            <w:r w:rsidRPr="00D775D5">
              <w:t>interpret and apply information from technical drawings and reports, including ratios, scales and scale conversions.</w:t>
            </w:r>
          </w:p>
        </w:tc>
      </w:tr>
      <w:tr w:rsidTr="00F245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75D5">
            <w:pPr>
              <w:pStyle w:val="BodyText"/>
              <w:rPr>
                <w:lang w:val="en-NZ"/>
              </w:rPr>
            </w:pPr>
            <w:r w:rsidRPr="00D775D5">
              <w:t>Oral communication skills to:</w:t>
            </w:r>
          </w:p>
        </w:tc>
        <w:tc>
          <w:tcPr>
            <w:tcW w:w="0" w:type="auto"/>
            <w:tcBorders>
              <w:top w:val="nil"/>
              <w:left w:val="nil"/>
              <w:bottom w:val="nil"/>
              <w:right w:val="nil"/>
            </w:tcBorders>
            <w:tcMar>
              <w:top w:w="0" w:type="dxa"/>
              <w:left w:w="62" w:type="dxa"/>
              <w:bottom w:w="0" w:type="dxa"/>
              <w:right w:w="62" w:type="dxa"/>
            </w:tcMar>
          </w:tcPr>
          <w:p w:rsidR="00000000" w:rsidP="00D775D5">
            <w:pPr>
              <w:pStyle w:val="ListBullet"/>
              <w:rPr>
                <w:lang w:val="en-NZ"/>
              </w:rPr>
            </w:pPr>
            <w:r w:rsidRPr="00D775D5">
              <w:t>participate in discussions in the workplace and with external specialists using specialised vocabulary relating to compliance.</w:t>
            </w:r>
          </w:p>
        </w:tc>
      </w:tr>
      <w:tr w:rsidTr="00F245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75D5">
            <w:pPr>
              <w:pStyle w:val="BodyText"/>
              <w:rPr>
                <w:lang w:val="en-NZ"/>
              </w:rPr>
            </w:pPr>
            <w:r w:rsidRPr="00D775D5">
              <w:t>Reading skills to:</w:t>
            </w:r>
          </w:p>
        </w:tc>
        <w:tc>
          <w:tcPr>
            <w:tcW w:w="0" w:type="auto"/>
            <w:tcBorders>
              <w:top w:val="nil"/>
              <w:left w:val="nil"/>
              <w:bottom w:val="nil"/>
              <w:right w:val="nil"/>
            </w:tcBorders>
            <w:tcMar>
              <w:top w:w="0" w:type="dxa"/>
              <w:left w:w="62" w:type="dxa"/>
              <w:bottom w:w="0" w:type="dxa"/>
              <w:right w:w="62" w:type="dxa"/>
            </w:tcMar>
          </w:tcPr>
          <w:p w:rsidR="00000000" w:rsidRPr="00D775D5" w:rsidP="00D775D5">
            <w:pPr>
              <w:pStyle w:val="ListBullet"/>
            </w:pPr>
            <w:r w:rsidRPr="00D775D5">
              <w:t>understand specialised vocabulary and acronyms specific to technical document</w:t>
            </w:r>
            <w:r w:rsidRPr="00D775D5">
              <w:t>ation used in building design projects</w:t>
            </w:r>
          </w:p>
          <w:p w:rsidR="00000000" w:rsidP="00D775D5">
            <w:pPr>
              <w:pStyle w:val="ListBullet"/>
              <w:rPr>
                <w:lang w:val="en-NZ"/>
              </w:rPr>
            </w:pPr>
            <w:r w:rsidRPr="00D775D5">
              <w:t>use different reading approaches to locate specific compliance requirements in a range of resources, including the BCA.</w:t>
            </w:r>
          </w:p>
        </w:tc>
      </w:tr>
      <w:tr w:rsidTr="00F245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75D5">
            <w:pPr>
              <w:pStyle w:val="BodyText"/>
              <w:rPr>
                <w:lang w:val="en-NZ"/>
              </w:rPr>
            </w:pPr>
            <w:r w:rsidRPr="00D775D5">
              <w:t>Writing skills to:</w:t>
            </w:r>
          </w:p>
        </w:tc>
        <w:tc>
          <w:tcPr>
            <w:tcW w:w="0" w:type="auto"/>
            <w:tcBorders>
              <w:top w:val="nil"/>
              <w:left w:val="nil"/>
              <w:bottom w:val="nil"/>
              <w:right w:val="nil"/>
            </w:tcBorders>
            <w:tcMar>
              <w:top w:w="0" w:type="dxa"/>
              <w:left w:w="62" w:type="dxa"/>
              <w:bottom w:w="0" w:type="dxa"/>
              <w:right w:w="62" w:type="dxa"/>
            </w:tcMar>
          </w:tcPr>
          <w:p w:rsidR="00000000" w:rsidRPr="00D775D5" w:rsidP="00D775D5">
            <w:pPr>
              <w:pStyle w:val="ListBullet"/>
            </w:pPr>
            <w:r w:rsidRPr="00D775D5">
              <w:t>make legible notes of discussions with colleagues and external specialists</w:t>
            </w:r>
          </w:p>
          <w:p w:rsidR="00000000" w:rsidRPr="00D775D5" w:rsidP="00D775D5">
            <w:pPr>
              <w:pStyle w:val="ListBullet"/>
            </w:pPr>
            <w:r w:rsidRPr="00D775D5">
              <w:t>u</w:t>
            </w:r>
            <w:r w:rsidRPr="00D775D5">
              <w:t>se specialised vocabulary relating to building design projects.</w:t>
            </w:r>
          </w:p>
        </w:tc>
      </w:tr>
    </w:tbl>
    <w:p w:rsidR="00000000" w:rsidRPr="00D775D5" w:rsidP="00D775D5">
      <w:pPr>
        <w:pStyle w:val="BodyText"/>
      </w:pPr>
    </w:p>
    <w:p w:rsidR="00000000" w:rsidRPr="00D775D5" w:rsidP="00D775D5">
      <w:pPr>
        <w:pStyle w:val="AllowPageBreak"/>
      </w:pPr>
    </w:p>
    <w:p w:rsidR="00000000" w:rsidRPr="00D775D5" w:rsidP="00D775D5">
      <w:pPr>
        <w:pStyle w:val="Heading1"/>
      </w:pPr>
      <w:bookmarkStart w:id="8" w:name="O_660829"/>
      <w:bookmarkEnd w:id="8"/>
      <w:r w:rsidRPr="00D775D5">
        <w:t>Range of Conditions</w:t>
      </w:r>
    </w:p>
    <w:tbl>
      <w:tblPr>
        <w:tblW w:w="0" w:type="auto"/>
        <w:tblCellMar>
          <w:left w:w="62" w:type="dxa"/>
          <w:right w:w="62" w:type="dxa"/>
        </w:tblCellMar>
        <w:tblLook w:val="0000"/>
      </w:tblPr>
      <w:tblGrid>
        <w:gridCol w:w="2163"/>
        <w:gridCol w:w="7033"/>
      </w:tblGrid>
      <w:tr w:rsidTr="00F2459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775D5">
            <w:pPr>
              <w:pStyle w:val="BodyText"/>
              <w:rPr>
                <w:lang w:val="en-NZ"/>
              </w:rPr>
            </w:pPr>
            <w:r w:rsidRPr="00D775D5">
              <w:t>This section</w:t>
            </w:r>
            <w:r w:rsidRPr="00D775D5">
              <w:t xml:space="preserve"> specifies work environments and conditions that may affect performance. Essential operating conditions that may be present (depending on the work situation, needs of the candidate, accessibility of the item, and local industry and regional contexts) are i</w:t>
            </w:r>
            <w:r w:rsidRPr="00D775D5">
              <w:t>ncluded. Bold italicised wording, if used in the performance criteria, is detailed below.</w:t>
            </w:r>
          </w:p>
        </w:tc>
      </w:tr>
      <w:tr w:rsidTr="00F245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75D5">
            <w:pPr>
              <w:pStyle w:val="BodyText"/>
              <w:rPr>
                <w:lang w:val="en-NZ"/>
              </w:rPr>
            </w:pPr>
            <w:r w:rsidRPr="00D775D5">
              <w:rPr>
                <w:rStyle w:val="BoldandItalics"/>
              </w:rPr>
              <w:t>Legislation</w:t>
            </w:r>
            <w:r w:rsidRPr="00D775D5">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D775D5" w:rsidP="00D775D5">
            <w:pPr>
              <w:pStyle w:val="ListBullet"/>
            </w:pPr>
            <w:r w:rsidRPr="00D775D5">
              <w:t>legislation and regulations relating to:</w:t>
            </w:r>
          </w:p>
          <w:p w:rsidR="00000000" w:rsidRPr="00D775D5" w:rsidP="00D775D5">
            <w:pPr>
              <w:pStyle w:val="ListBullet2"/>
            </w:pPr>
            <w:r w:rsidRPr="00D775D5">
              <w:t>building</w:t>
            </w:r>
          </w:p>
          <w:p w:rsidR="00000000" w:rsidRPr="00D775D5" w:rsidP="00D775D5">
            <w:pPr>
              <w:pStyle w:val="ListBullet2"/>
            </w:pPr>
            <w:r w:rsidRPr="00D775D5">
              <w:t>construction materials and methods</w:t>
            </w:r>
          </w:p>
          <w:p w:rsidR="00000000" w:rsidRPr="00D775D5" w:rsidP="00D775D5">
            <w:pPr>
              <w:pStyle w:val="ListBullet2"/>
            </w:pPr>
            <w:r w:rsidRPr="00D775D5">
              <w:t>disability access</w:t>
            </w:r>
          </w:p>
          <w:p w:rsidR="00000000" w:rsidRPr="00D775D5" w:rsidP="00D775D5">
            <w:pPr>
              <w:pStyle w:val="ListBullet2"/>
            </w:pPr>
            <w:r w:rsidRPr="00D775D5">
              <w:t>energy efficiency</w:t>
            </w:r>
          </w:p>
          <w:p w:rsidR="00000000" w:rsidRPr="00D775D5" w:rsidP="00D775D5">
            <w:pPr>
              <w:pStyle w:val="ListBullet2"/>
            </w:pPr>
            <w:r w:rsidRPr="00D775D5">
              <w:t>environment</w:t>
            </w:r>
          </w:p>
          <w:p w:rsidR="00000000" w:rsidRPr="00D775D5" w:rsidP="00D775D5">
            <w:pPr>
              <w:pStyle w:val="ListBullet2"/>
            </w:pPr>
            <w:r w:rsidRPr="00D775D5">
              <w:t>local authority planning schemes</w:t>
            </w:r>
          </w:p>
          <w:p w:rsidR="00000000" w:rsidP="00D775D5">
            <w:pPr>
              <w:pStyle w:val="ListBullet2"/>
              <w:rPr>
                <w:lang w:val="en-NZ"/>
              </w:rPr>
            </w:pPr>
            <w:r w:rsidRPr="00D775D5">
              <w:t>work health and safety (WHS).</w:t>
            </w:r>
          </w:p>
        </w:tc>
      </w:tr>
      <w:tr w:rsidTr="00F245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75D5">
            <w:pPr>
              <w:pStyle w:val="BodyText"/>
              <w:rPr>
                <w:lang w:val="en-NZ"/>
              </w:rPr>
            </w:pPr>
            <w:r w:rsidRPr="00D775D5">
              <w:rPr>
                <w:rStyle w:val="BoldandItalics"/>
              </w:rPr>
              <w:t>Codes and standards</w:t>
            </w:r>
            <w:r w:rsidRPr="00D775D5">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D775D5" w:rsidP="00D775D5">
            <w:pPr>
              <w:pStyle w:val="ListBullet"/>
            </w:pPr>
            <w:r w:rsidRPr="00D775D5">
              <w:t>Australian standards, including standards for drawing:</w:t>
            </w:r>
          </w:p>
          <w:p w:rsidR="00000000" w:rsidRPr="00D775D5" w:rsidP="00D775D5">
            <w:pPr>
              <w:pStyle w:val="ListBullet2"/>
            </w:pPr>
            <w:r w:rsidRPr="00D775D5">
              <w:t>AS1100.101 Technical drawing - General principles</w:t>
            </w:r>
          </w:p>
          <w:p w:rsidR="00000000" w:rsidRPr="00D775D5" w:rsidP="00D775D5">
            <w:pPr>
              <w:pStyle w:val="ListBullet2"/>
            </w:pPr>
            <w:r w:rsidRPr="00D775D5">
              <w:t>AS1100.301 Technical drawing - Architectural drawing</w:t>
            </w:r>
          </w:p>
          <w:p w:rsidR="00000000" w:rsidRPr="00D775D5" w:rsidP="00D775D5">
            <w:pPr>
              <w:pStyle w:val="ListBullet2"/>
            </w:pPr>
            <w:r w:rsidRPr="00D775D5">
              <w:t>AS1101.1 Graphic symbols for general engineering - Hydraulic and pneumatic systems</w:t>
            </w:r>
          </w:p>
          <w:p w:rsidR="00000000" w:rsidP="00D775D5">
            <w:pPr>
              <w:pStyle w:val="ListBullet"/>
              <w:rPr>
                <w:lang w:val="en-NZ"/>
              </w:rPr>
            </w:pPr>
            <w:r w:rsidRPr="00D775D5">
              <w:t>NCC.</w:t>
            </w:r>
          </w:p>
        </w:tc>
      </w:tr>
      <w:tr w:rsidTr="00F245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75D5">
            <w:pPr>
              <w:pStyle w:val="BodyText"/>
              <w:rPr>
                <w:lang w:val="en-NZ"/>
              </w:rPr>
            </w:pPr>
            <w:r w:rsidRPr="00D775D5">
              <w:rPr>
                <w:rStyle w:val="BoldandItalics"/>
              </w:rPr>
              <w:t>Compliance requirements</w:t>
            </w:r>
            <w:r w:rsidRPr="00D775D5">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D775D5" w:rsidP="00D775D5">
            <w:pPr>
              <w:pStyle w:val="ListBullet"/>
            </w:pPr>
            <w:r w:rsidRPr="00D775D5">
              <w:t xml:space="preserve">current Australian standards applicable to the building design </w:t>
            </w:r>
          </w:p>
          <w:p w:rsidR="00000000" w:rsidRPr="00D775D5" w:rsidP="00D775D5">
            <w:pPr>
              <w:pStyle w:val="ListBullet"/>
            </w:pPr>
            <w:r w:rsidRPr="00D775D5">
              <w:t>federal, state or territory, and local authority legislation and regulations and planning schemes applicable to the building design</w:t>
            </w:r>
          </w:p>
          <w:p w:rsidR="00000000" w:rsidP="00D775D5">
            <w:pPr>
              <w:pStyle w:val="ListBullet"/>
              <w:rPr>
                <w:lang w:val="en-NZ"/>
              </w:rPr>
            </w:pPr>
            <w:r w:rsidRPr="00D775D5">
              <w:t>NCC.</w:t>
            </w:r>
          </w:p>
        </w:tc>
      </w:tr>
      <w:tr w:rsidTr="00F245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75D5">
            <w:pPr>
              <w:pStyle w:val="BodyText"/>
              <w:rPr>
                <w:lang w:val="en-NZ"/>
              </w:rPr>
            </w:pPr>
            <w:r w:rsidRPr="00D775D5">
              <w:rPr>
                <w:rStyle w:val="BoldandItalics"/>
              </w:rPr>
              <w:t>Constraints</w:t>
            </w:r>
            <w:r w:rsidRPr="00D775D5">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D775D5" w:rsidP="00D775D5">
            <w:pPr>
              <w:pStyle w:val="ListBullet"/>
            </w:pPr>
            <w:r w:rsidRPr="00D775D5">
              <w:t>reference to:</w:t>
            </w:r>
          </w:p>
          <w:p w:rsidR="00000000" w:rsidRPr="00D775D5" w:rsidP="00D775D5">
            <w:pPr>
              <w:pStyle w:val="ListBullet2"/>
            </w:pPr>
            <w:r w:rsidRPr="00D775D5">
              <w:t>local authority planning scheme relevant to the applicable building design</w:t>
            </w:r>
          </w:p>
          <w:p w:rsidR="00000000" w:rsidRPr="00D775D5" w:rsidP="00D775D5">
            <w:pPr>
              <w:pStyle w:val="ListBullet2"/>
            </w:pPr>
            <w:r w:rsidRPr="00D775D5">
              <w:t>project brief</w:t>
            </w:r>
          </w:p>
          <w:p w:rsidR="00000000" w:rsidRPr="00D775D5" w:rsidP="00D775D5">
            <w:pPr>
              <w:pStyle w:val="ListBullet2"/>
            </w:pPr>
            <w:r w:rsidRPr="00D775D5">
              <w:t>sections of the BCA relevant to the applicable building design.</w:t>
            </w:r>
          </w:p>
        </w:tc>
      </w:tr>
    </w:tbl>
    <w:p w:rsidR="00000000" w:rsidRPr="00D775D5" w:rsidP="00D775D5">
      <w:pPr>
        <w:pStyle w:val="BodyText"/>
      </w:pPr>
    </w:p>
    <w:p w:rsidR="00000000" w:rsidRPr="00D775D5" w:rsidP="00D775D5">
      <w:pPr>
        <w:pStyle w:val="AllowPageBreak"/>
      </w:pPr>
    </w:p>
    <w:p w:rsidR="00000000" w:rsidRPr="00D775D5" w:rsidP="00D775D5">
      <w:pPr>
        <w:pStyle w:val="Heading1"/>
      </w:pPr>
      <w:bookmarkStart w:id="9" w:name="O_660830"/>
      <w:bookmarkEnd w:id="9"/>
      <w:r w:rsidRPr="00D775D5">
        <w:t>Unit Mapping Information</w:t>
      </w:r>
    </w:p>
    <w:p w:rsidR="00000000" w:rsidRPr="00D775D5" w:rsidP="00F2459D">
      <w:pPr>
        <w:pStyle w:val="BodyText"/>
      </w:pPr>
      <w:r w:rsidRPr="00D775D5">
        <w:t>No equivalent unit.</w:t>
      </w:r>
    </w:p>
    <w:p w:rsidR="00000000" w:rsidRPr="00D775D5" w:rsidP="00D775D5">
      <w:pPr>
        <w:pStyle w:val="Heading1"/>
      </w:pPr>
      <w:bookmarkStart w:id="10" w:name="O_660837"/>
      <w:bookmarkEnd w:id="10"/>
      <w:r w:rsidRPr="00D775D5">
        <w:t>Links</w:t>
      </w:r>
    </w:p>
    <w:p w:rsidR="00000000" w:rsidRPr="00D775D5" w:rsidP="00F2459D">
      <w:pPr>
        <w:pStyle w:val="BodyText"/>
      </w:pPr>
      <w:r w:rsidRPr="00D775D5">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0C01FC">
        <w:rPr>
          <w:rStyle w:val="Hyperlink"/>
        </w:rPr>
        <w:t>https://vetnet.gov.au/Pages/TrainingDocs.aspx?q=6f3f9672-30e8-4835-b348-205dfcf13d9b</w:t>
      </w:r>
      <w:r>
        <w:fldChar w:fldCharType="end"/>
      </w:r>
    </w:p>
    <w:p w:rsidR="00000000" w:rsidRPr="00D775D5" w:rsidP="00F2459D">
      <w:pPr>
        <w:pStyle w:val="BodyText"/>
        <w:sectPr w:rsidSect="00D775D5">
          <w:headerReference w:type="default" r:id="rId10"/>
          <w:footerReference w:type="default" r:id="rId11"/>
          <w:pgSz w:w="11908" w:h="16833"/>
          <w:pgMar w:top="1702" w:right="1418" w:bottom="1702" w:left="1418" w:header="992" w:footer="992" w:gutter="0"/>
          <w:cols w:space="720"/>
          <w:noEndnote/>
          <w:docGrid w:linePitch="299"/>
        </w:sectPr>
      </w:pPr>
    </w:p>
    <w:p w:rsidR="00000000" w:rsidRPr="00D775D5" w:rsidP="00D775D5">
      <w:pPr>
        <w:pStyle w:val="SuperHeading"/>
      </w:pPr>
      <w:r w:rsidRPr="00D775D5">
        <w:t>Assessment Requirements for CPPBDN4002 Research and apply compliance requirements to technical construction documentation</w:t>
      </w:r>
    </w:p>
    <w:p w:rsidR="00000000" w:rsidRPr="00D775D5" w:rsidP="00D775D5">
      <w:pPr>
        <w:pStyle w:val="Heading1"/>
      </w:pPr>
      <w:bookmarkStart w:id="11" w:name="O_660832"/>
      <w:bookmarkEnd w:id="11"/>
      <w:r w:rsidRPr="00D775D5">
        <w:t>Modification History</w:t>
      </w:r>
    </w:p>
    <w:p w:rsidR="00000000" w:rsidRPr="00D775D5" w:rsidP="00F2459D">
      <w:pPr>
        <w:pStyle w:val="BodyText"/>
      </w:pPr>
      <w:r w:rsidRPr="00D775D5">
        <w:t>Release 1.  New unit.</w:t>
      </w:r>
    </w:p>
    <w:p w:rsidR="00000000" w:rsidRPr="00D775D5" w:rsidP="00F2459D">
      <w:pPr>
        <w:pStyle w:val="BodyText"/>
      </w:pPr>
      <w:r w:rsidRPr="00D775D5">
        <w:t>This version first released with CPP Property Services Training Package Version 1.</w:t>
      </w:r>
    </w:p>
    <w:p w:rsidR="00000000" w:rsidRPr="00D775D5" w:rsidP="00D775D5">
      <w:pPr>
        <w:pStyle w:val="Heading1"/>
      </w:pPr>
      <w:bookmarkStart w:id="12" w:name="O_660833"/>
      <w:bookmarkEnd w:id="12"/>
      <w:r w:rsidRPr="00D775D5">
        <w:t>Performance Evidence</w:t>
      </w:r>
    </w:p>
    <w:p w:rsidR="00000000" w:rsidRPr="00D775D5" w:rsidP="00F2459D">
      <w:pPr>
        <w:pStyle w:val="BodyText"/>
      </w:pPr>
      <w:r w:rsidRPr="00D775D5">
        <w:t>A person demonstrating competency in this unit must satisfy all of the elements, performance</w:t>
      </w:r>
      <w:r w:rsidRPr="00D775D5">
        <w:t xml:space="preserve"> criteria and foundation skills of this unit, and must be able to provide evidence of the ability to apply compliance requirements to technical construction documentation for the following three different building projects, as defined in the Building Code </w:t>
      </w:r>
      <w:r w:rsidRPr="00D775D5">
        <w:t>of Australia (BCA). At least one of the building design projects must include a Class 10 component:</w:t>
      </w:r>
    </w:p>
    <w:p w:rsidR="00000000" w:rsidRPr="00D775D5" w:rsidP="00D775D5">
      <w:pPr>
        <w:pStyle w:val="ListBullet"/>
      </w:pPr>
      <w:r w:rsidRPr="00D775D5">
        <w:t xml:space="preserve">one Class 1 building </w:t>
      </w:r>
    </w:p>
    <w:p w:rsidR="00000000" w:rsidRPr="00D775D5" w:rsidP="00D775D5">
      <w:pPr>
        <w:pStyle w:val="ListBullet"/>
      </w:pPr>
      <w:r w:rsidRPr="00D775D5">
        <w:t>one Class 2 building</w:t>
      </w:r>
    </w:p>
    <w:p w:rsidR="00000000" w:rsidRPr="00D775D5" w:rsidP="00D775D5">
      <w:pPr>
        <w:pStyle w:val="ListBullet"/>
      </w:pPr>
      <w:r w:rsidRPr="00D775D5">
        <w:t>one building selected from Classes 3 to 9.</w:t>
      </w:r>
    </w:p>
    <w:p w:rsidR="00000000" w:rsidRPr="00D775D5" w:rsidP="00D775D5">
      <w:pPr>
        <w:pStyle w:val="BodyText"/>
      </w:pPr>
    </w:p>
    <w:p w:rsidR="00000000" w:rsidRPr="00D775D5" w:rsidP="00F2459D">
      <w:pPr>
        <w:pStyle w:val="BodyText"/>
      </w:pPr>
      <w:r w:rsidRPr="00D775D5">
        <w:t xml:space="preserve">At least one of the above building projects must be two storeys and </w:t>
      </w:r>
      <w:r w:rsidRPr="00D775D5">
        <w:t>one building project must be three storeys or more.</w:t>
      </w:r>
    </w:p>
    <w:p w:rsidR="00000000" w:rsidRPr="00D775D5" w:rsidP="00F2459D">
      <w:pPr>
        <w:pStyle w:val="BodyText"/>
      </w:pPr>
      <w:r w:rsidRPr="00D775D5">
        <w:t>In each of the projects, the person must:</w:t>
      </w:r>
    </w:p>
    <w:p w:rsidR="00000000" w:rsidRPr="00D775D5" w:rsidP="00D775D5">
      <w:pPr>
        <w:pStyle w:val="ListBullet"/>
      </w:pPr>
      <w:r w:rsidRPr="00D775D5">
        <w:t>develop a body of current research findings relating to the codes and standards affecting compliance of building designs</w:t>
      </w:r>
    </w:p>
    <w:p w:rsidR="00000000" w:rsidRPr="00D775D5" w:rsidP="00D775D5">
      <w:pPr>
        <w:pStyle w:val="ListBullet"/>
      </w:pPr>
      <w:r w:rsidRPr="00D775D5">
        <w:t>analyse compliance requirements in rela</w:t>
      </w:r>
      <w:r w:rsidRPr="00D775D5">
        <w:t>tion to client requests</w:t>
      </w:r>
    </w:p>
    <w:p w:rsidR="00000000" w:rsidRPr="00D775D5" w:rsidP="00D775D5">
      <w:pPr>
        <w:pStyle w:val="ListBullet"/>
      </w:pPr>
      <w:r w:rsidRPr="00D775D5">
        <w:t>review compliance of drawings, including those from other disciplines such as land surveyors, and hydraulic and fire engineers</w:t>
      </w:r>
    </w:p>
    <w:p w:rsidR="00000000" w:rsidRPr="00D775D5" w:rsidP="00D775D5">
      <w:pPr>
        <w:pStyle w:val="ListBullet"/>
      </w:pPr>
      <w:r w:rsidRPr="00D775D5">
        <w:t>amend technical construction documents to ensure compliance with codes and standards</w:t>
      </w:r>
    </w:p>
    <w:p w:rsidR="00000000" w:rsidRPr="00D775D5" w:rsidP="00D775D5">
      <w:pPr>
        <w:pStyle w:val="ListBullet"/>
      </w:pPr>
      <w:r w:rsidRPr="00D775D5">
        <w:t>document and store r</w:t>
      </w:r>
      <w:r w:rsidRPr="00D775D5">
        <w:t>esearch findings.</w:t>
      </w:r>
    </w:p>
    <w:p w:rsidR="00000000" w:rsidRPr="00D775D5" w:rsidP="00D775D5">
      <w:pPr>
        <w:pStyle w:val="AllowPageBreak"/>
      </w:pPr>
    </w:p>
    <w:p w:rsidR="00000000" w:rsidRPr="00D775D5" w:rsidP="00D775D5">
      <w:pPr>
        <w:pStyle w:val="Heading1"/>
      </w:pPr>
      <w:bookmarkStart w:id="13" w:name="O_660834"/>
      <w:bookmarkEnd w:id="13"/>
      <w:r w:rsidRPr="00D775D5">
        <w:t>Knowledge Evidence</w:t>
      </w:r>
    </w:p>
    <w:p w:rsidR="00000000" w:rsidRPr="00D775D5" w:rsidP="00F2459D">
      <w:pPr>
        <w:pStyle w:val="BodyText"/>
      </w:pPr>
      <w:r w:rsidRPr="00D775D5">
        <w:t xml:space="preserve">A person demonstrating competency in this unit must be able to demonstrate knowledge of the sections of the BCA relevant to the classes and types of buildings specified </w:t>
      </w:r>
      <w:r w:rsidRPr="00D775D5">
        <w:t>in the performance evidence, including knowledge of the following:</w:t>
      </w:r>
    </w:p>
    <w:p w:rsidR="00000000" w:rsidRPr="00D775D5" w:rsidP="00D775D5">
      <w:pPr>
        <w:pStyle w:val="ListBullet"/>
      </w:pPr>
      <w:r w:rsidRPr="00D775D5">
        <w:t>compliance requirements relating to specific building design projects, including:</w:t>
      </w:r>
    </w:p>
    <w:p w:rsidR="00000000" w:rsidRPr="00D775D5" w:rsidP="00D775D5">
      <w:pPr>
        <w:pStyle w:val="ListBullet2"/>
      </w:pPr>
      <w:r w:rsidRPr="00D775D5">
        <w:t>Australian standards for drawing applicable to the building projects</w:t>
      </w:r>
    </w:p>
    <w:p w:rsidR="00000000" w:rsidRPr="00D775D5" w:rsidP="00D775D5">
      <w:pPr>
        <w:pStyle w:val="ListBullet2"/>
      </w:pPr>
      <w:r w:rsidRPr="00D775D5">
        <w:t>local authority planning schemes</w:t>
      </w:r>
    </w:p>
    <w:p w:rsidR="00000000" w:rsidRPr="00D775D5" w:rsidP="00D775D5">
      <w:pPr>
        <w:pStyle w:val="ListBullet2"/>
      </w:pPr>
      <w:r w:rsidRPr="00D775D5">
        <w:t>Nat</w:t>
      </w:r>
      <w:r w:rsidRPr="00D775D5">
        <w:t>ional Construction Code (NCC) requirements</w:t>
      </w:r>
    </w:p>
    <w:p w:rsidR="00000000" w:rsidRPr="00D775D5" w:rsidP="00D775D5">
      <w:pPr>
        <w:pStyle w:val="ListBullet2"/>
      </w:pPr>
      <w:r w:rsidRPr="00D775D5">
        <w:t>state planning policies</w:t>
      </w:r>
    </w:p>
    <w:p w:rsidR="00000000" w:rsidRPr="00D775D5" w:rsidP="00D775D5">
      <w:pPr>
        <w:pStyle w:val="ListBullet2"/>
      </w:pPr>
      <w:r w:rsidRPr="00D775D5">
        <w:t>state building codes</w:t>
      </w:r>
    </w:p>
    <w:p w:rsidR="00000000" w:rsidRPr="00D775D5" w:rsidP="00D775D5">
      <w:pPr>
        <w:pStyle w:val="ListBullet"/>
      </w:pPr>
      <w:r w:rsidRPr="00D775D5">
        <w:t>disability access requirements</w:t>
      </w:r>
    </w:p>
    <w:p w:rsidR="00000000" w:rsidRPr="00D775D5" w:rsidP="00D775D5">
      <w:pPr>
        <w:pStyle w:val="ListBullet"/>
      </w:pPr>
      <w:r w:rsidRPr="00D775D5">
        <w:t>environmental and sustainability requirements, including:</w:t>
      </w:r>
    </w:p>
    <w:p w:rsidR="00000000" w:rsidRPr="00D775D5" w:rsidP="00D775D5">
      <w:pPr>
        <w:pStyle w:val="ListBullet2"/>
      </w:pPr>
      <w:r w:rsidRPr="00D775D5">
        <w:t>energy efficiency</w:t>
      </w:r>
    </w:p>
    <w:p w:rsidR="00000000" w:rsidRPr="00D775D5" w:rsidP="00D775D5">
      <w:pPr>
        <w:pStyle w:val="ListBullet2"/>
      </w:pPr>
      <w:r w:rsidRPr="00D775D5">
        <w:t>fire resistance, including resistance to bushfire attack</w:t>
      </w:r>
    </w:p>
    <w:p w:rsidR="00000000" w:rsidRPr="00D775D5" w:rsidP="00D775D5">
      <w:pPr>
        <w:pStyle w:val="ListBullet2"/>
      </w:pPr>
      <w:r w:rsidRPr="00D775D5">
        <w:t>sound</w:t>
      </w:r>
    </w:p>
    <w:p w:rsidR="00000000" w:rsidRPr="00D775D5" w:rsidP="00D775D5">
      <w:pPr>
        <w:pStyle w:val="ListBullet2"/>
      </w:pPr>
      <w:r w:rsidRPr="00D775D5">
        <w:t xml:space="preserve">flood </w:t>
      </w:r>
    </w:p>
    <w:p w:rsidR="00000000" w:rsidRPr="00D775D5" w:rsidP="00D775D5">
      <w:pPr>
        <w:pStyle w:val="ListBullet2"/>
      </w:pPr>
      <w:r w:rsidRPr="00D775D5">
        <w:t>ventilation</w:t>
      </w:r>
    </w:p>
    <w:p w:rsidR="00000000" w:rsidRPr="00D775D5" w:rsidP="00D775D5">
      <w:pPr>
        <w:pStyle w:val="ListBullet"/>
      </w:pPr>
      <w:r w:rsidRPr="00D775D5">
        <w:t>building designers’ duty of care to ensure quality and safety of designs</w:t>
      </w:r>
    </w:p>
    <w:p w:rsidR="00000000" w:rsidRPr="00D775D5" w:rsidP="00D775D5">
      <w:pPr>
        <w:pStyle w:val="ListBullet"/>
      </w:pPr>
      <w:r w:rsidRPr="00D775D5">
        <w:t>legislation as listed in the range of conditions and as relevant to the building project</w:t>
      </w:r>
    </w:p>
    <w:p w:rsidR="00000000" w:rsidRPr="00D775D5" w:rsidP="00D775D5">
      <w:pPr>
        <w:pStyle w:val="ListBullet"/>
      </w:pPr>
      <w:r w:rsidRPr="00D775D5">
        <w:t>work health and safety requirements relevant to the building project</w:t>
      </w:r>
      <w:r w:rsidRPr="00D775D5">
        <w:t>s specified in the performance evidence.</w:t>
      </w:r>
    </w:p>
    <w:p w:rsidR="00000000" w:rsidRPr="00D775D5" w:rsidP="00D775D5">
      <w:pPr>
        <w:pStyle w:val="AllowPageBreak"/>
      </w:pPr>
    </w:p>
    <w:p w:rsidR="00000000" w:rsidRPr="00D775D5" w:rsidP="00D775D5">
      <w:pPr>
        <w:pStyle w:val="Heading1"/>
      </w:pPr>
      <w:bookmarkStart w:id="14" w:name="O_660835"/>
      <w:bookmarkEnd w:id="14"/>
      <w:r w:rsidRPr="00D775D5">
        <w:t>Assessment Conditions</w:t>
      </w:r>
    </w:p>
    <w:p w:rsidR="00000000" w:rsidRPr="00D775D5" w:rsidP="00F2459D">
      <w:pPr>
        <w:pStyle w:val="BodyText"/>
      </w:pPr>
      <w:r w:rsidRPr="00D775D5">
        <w:t>Assessment must be conducted in the workplace or a close simulation of the workplace.</w:t>
      </w:r>
    </w:p>
    <w:p w:rsidR="00000000" w:rsidRPr="00D775D5" w:rsidP="00F2459D">
      <w:pPr>
        <w:pStyle w:val="BodyText"/>
      </w:pPr>
      <w:r w:rsidRPr="00D775D5">
        <w:t>Suitable assessment of performance requires:</w:t>
      </w:r>
    </w:p>
    <w:p w:rsidR="00000000" w:rsidRPr="00D775D5" w:rsidP="00D775D5">
      <w:pPr>
        <w:pStyle w:val="ListBullet"/>
      </w:pPr>
      <w:r w:rsidRPr="00D775D5">
        <w:t>equipment:</w:t>
      </w:r>
    </w:p>
    <w:p w:rsidR="00000000" w:rsidRPr="00D775D5" w:rsidP="00D775D5">
      <w:pPr>
        <w:pStyle w:val="ListBullet2"/>
      </w:pPr>
      <w:r w:rsidRPr="00D775D5">
        <w:t>computer with internet access an</w:t>
      </w:r>
      <w:r w:rsidRPr="00D775D5">
        <w:t>d building information modelling (BIM)-capable building design software and business software currently used in drafting, architectural and building design practice</w:t>
      </w:r>
    </w:p>
    <w:p w:rsidR="00000000" w:rsidRPr="00D775D5" w:rsidP="00D775D5">
      <w:pPr>
        <w:pStyle w:val="ListBullet2"/>
      </w:pPr>
      <w:r w:rsidRPr="00D775D5">
        <w:t>telephone</w:t>
      </w:r>
    </w:p>
    <w:p w:rsidR="00000000" w:rsidRPr="00D775D5" w:rsidP="00D775D5">
      <w:pPr>
        <w:pStyle w:val="ListBullet"/>
      </w:pPr>
      <w:r w:rsidRPr="00D775D5">
        <w:t>materials:</w:t>
      </w:r>
    </w:p>
    <w:p w:rsidR="00000000" w:rsidRPr="00D775D5" w:rsidP="00D775D5">
      <w:pPr>
        <w:pStyle w:val="ListBullet2"/>
      </w:pPr>
      <w:r w:rsidRPr="00D775D5">
        <w:t>technical reports</w:t>
      </w:r>
    </w:p>
    <w:p w:rsidR="00000000" w:rsidRPr="00D775D5" w:rsidP="00D775D5">
      <w:pPr>
        <w:pStyle w:val="ListBullet2"/>
      </w:pPr>
      <w:r w:rsidRPr="00D775D5">
        <w:t>working drawings and plans</w:t>
      </w:r>
    </w:p>
    <w:p w:rsidR="00000000" w:rsidRPr="00D775D5" w:rsidP="00D775D5">
      <w:pPr>
        <w:pStyle w:val="ListBullet"/>
      </w:pPr>
      <w:r w:rsidRPr="00D775D5">
        <w:t>contingencies:</w:t>
      </w:r>
    </w:p>
    <w:p w:rsidR="00000000" w:rsidRPr="00D775D5" w:rsidP="00D775D5">
      <w:pPr>
        <w:pStyle w:val="ListBullet2"/>
      </w:pPr>
      <w:r w:rsidRPr="00D775D5">
        <w:t>implications of non-compliance</w:t>
      </w:r>
    </w:p>
    <w:p w:rsidR="00000000" w:rsidRPr="00D775D5" w:rsidP="00D775D5">
      <w:pPr>
        <w:pStyle w:val="ListBullet2"/>
      </w:pPr>
      <w:r w:rsidRPr="00D775D5">
        <w:t xml:space="preserve">implications of preparing and submitting to relevant authority insufficient or inaccurate documentation </w:t>
      </w:r>
    </w:p>
    <w:p w:rsidR="00000000" w:rsidRPr="00D775D5" w:rsidP="00D775D5">
      <w:pPr>
        <w:pStyle w:val="ListBullet"/>
      </w:pPr>
      <w:r w:rsidRPr="00D775D5">
        <w:t>specifications – access to:</w:t>
      </w:r>
    </w:p>
    <w:p w:rsidR="00000000" w:rsidRPr="00D775D5" w:rsidP="00D775D5">
      <w:pPr>
        <w:pStyle w:val="ListBullet2"/>
      </w:pPr>
      <w:r w:rsidRPr="00D775D5">
        <w:t>NCC and Australian standards</w:t>
      </w:r>
    </w:p>
    <w:p w:rsidR="00000000" w:rsidRPr="00D775D5" w:rsidP="00D775D5">
      <w:pPr>
        <w:pStyle w:val="ListBullet2"/>
      </w:pPr>
      <w:r w:rsidRPr="00D775D5">
        <w:t>legislation, regulations, codes and other relevant compliance</w:t>
      </w:r>
      <w:r w:rsidRPr="00D775D5">
        <w:t xml:space="preserve"> documentation relating to each building design project specified in the performance evidence</w:t>
      </w:r>
    </w:p>
    <w:p w:rsidR="00000000" w:rsidRPr="00D775D5" w:rsidP="00D775D5">
      <w:pPr>
        <w:pStyle w:val="ListBullet2"/>
      </w:pPr>
      <w:r w:rsidRPr="00D775D5">
        <w:t>manufacturer product specifications on building materials and methods</w:t>
      </w:r>
    </w:p>
    <w:p w:rsidR="00000000" w:rsidRPr="00D775D5" w:rsidP="00D775D5">
      <w:pPr>
        <w:pStyle w:val="ListBullet2"/>
      </w:pPr>
      <w:r w:rsidRPr="00D775D5">
        <w:t>project brief for the three building classes and types specified in the performance evidence</w:t>
      </w:r>
      <w:r w:rsidRPr="00D775D5">
        <w:t>, including specifications relating to:</w:t>
      </w:r>
    </w:p>
    <w:p w:rsidR="00000000" w:rsidRPr="00D775D5" w:rsidP="00D775D5">
      <w:pPr>
        <w:pStyle w:val="ListBullet3"/>
      </w:pPr>
      <w:r w:rsidRPr="00D775D5">
        <w:t>building envelopes</w:t>
      </w:r>
    </w:p>
    <w:p w:rsidR="00000000" w:rsidRPr="00D775D5" w:rsidP="00D775D5">
      <w:pPr>
        <w:pStyle w:val="ListBullet3"/>
      </w:pPr>
      <w:r w:rsidRPr="00D775D5">
        <w:t xml:space="preserve">services </w:t>
      </w:r>
    </w:p>
    <w:p w:rsidR="00000000" w:rsidRPr="00D775D5" w:rsidP="00D775D5">
      <w:pPr>
        <w:pStyle w:val="ListBullet3"/>
      </w:pPr>
      <w:r w:rsidRPr="00D775D5">
        <w:t>structural components</w:t>
      </w:r>
    </w:p>
    <w:p w:rsidR="00000000" w:rsidRPr="00D775D5" w:rsidP="00D775D5">
      <w:pPr>
        <w:pStyle w:val="ListBullet"/>
      </w:pPr>
      <w:r w:rsidRPr="00D775D5">
        <w:t>relationships with team members and supervisor:</w:t>
      </w:r>
    </w:p>
    <w:p w:rsidR="00000000" w:rsidRPr="00D775D5" w:rsidP="00D775D5">
      <w:pPr>
        <w:pStyle w:val="ListBullet2"/>
      </w:pPr>
      <w:r w:rsidRPr="00D775D5">
        <w:t xml:space="preserve">tasks may be completed as an individual and as a team member, under the direction of an architect, </w:t>
      </w:r>
      <w:r w:rsidRPr="00D775D5">
        <w:t>building designer or other relevant person</w:t>
      </w:r>
    </w:p>
    <w:p w:rsidR="00000000" w:rsidRPr="00D775D5" w:rsidP="00D775D5">
      <w:pPr>
        <w:pStyle w:val="ListBullet"/>
      </w:pPr>
      <w:r w:rsidRPr="00D775D5">
        <w:t>relationship with client:</w:t>
      </w:r>
    </w:p>
    <w:p w:rsidR="00000000" w:rsidRPr="00D775D5" w:rsidP="00D775D5">
      <w:pPr>
        <w:pStyle w:val="ListBullet2"/>
      </w:pPr>
      <w:r w:rsidRPr="00D775D5">
        <w:t xml:space="preserve">limited liaison with the client is required and only under direction of the architect or building designer. </w:t>
      </w:r>
    </w:p>
    <w:p w:rsidR="00000000" w:rsidRPr="00D775D5" w:rsidP="00D775D5">
      <w:pPr>
        <w:pStyle w:val="BodyText"/>
      </w:pPr>
    </w:p>
    <w:p w:rsidR="00000000" w:rsidRPr="00D775D5" w:rsidP="00F2459D">
      <w:pPr>
        <w:pStyle w:val="Heading3"/>
      </w:pPr>
      <w:r w:rsidRPr="00D775D5">
        <w:rPr>
          <w:rStyle w:val="SpecialBold"/>
        </w:rPr>
        <w:t>Assessor requirements</w:t>
      </w:r>
    </w:p>
    <w:p w:rsidR="00000000" w:rsidRPr="00D775D5" w:rsidP="00F2459D">
      <w:pPr>
        <w:pStyle w:val="BodyText"/>
      </w:pPr>
      <w:r w:rsidRPr="00D775D5">
        <w:t xml:space="preserve">As a minimum, assessors must satisfy SNR/AQTF assessor requirements. </w:t>
      </w:r>
    </w:p>
    <w:p w:rsidR="00000000" w:rsidRPr="00D775D5" w:rsidP="00D775D5">
      <w:pPr>
        <w:pStyle w:val="Heading1"/>
      </w:pPr>
      <w:bookmarkStart w:id="15" w:name="O_660838"/>
      <w:bookmarkEnd w:id="15"/>
      <w:r w:rsidRPr="00D775D5">
        <w:t>Links</w:t>
      </w:r>
    </w:p>
    <w:p w:rsidR="00000000" w:rsidRPr="00D775D5" w:rsidP="00F2459D">
      <w:pPr>
        <w:pStyle w:val="BodyText"/>
      </w:pPr>
      <w:r w:rsidRPr="00D775D5">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0C01FC">
        <w:rPr>
          <w:rStyle w:val="Hyperlink"/>
        </w:rPr>
        <w:t>https://vetnet.gov.au/Pages/TrainingDocs.aspx?q=6f3f9672-30e8-4835-b348-205dfcf13d9b</w:t>
      </w:r>
      <w:r>
        <w:fldChar w:fldCharType="end"/>
      </w:r>
    </w:p>
    <w:p w:rsidR="00000000" w:rsidRPr="00D775D5" w:rsidP="00D775D5"/>
    <w:sectPr w:rsidSect="00D775D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5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5D5" w:rsidRPr="00F2459D" w:rsidP="00F245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5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59D" w:rsidP="00D775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2459D" w:rsidP="00D775D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F2459D" w:rsidP="00D775D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5D5" w:rsidP="00D775D5">
    <w:pPr>
      <w:pStyle w:val="Footer"/>
      <w:framePr w:wrap="around"/>
    </w:pPr>
    <w:r>
      <w:fldChar w:fldCharType="begin"/>
    </w:r>
    <w:r>
      <w:instrText xml:space="preserve"> DOCPROPERTY  Subject  \* MERGEFORMAT </w:instrText>
    </w:r>
    <w:r>
      <w:fldChar w:fldCharType="separate"/>
    </w:r>
    <w:r w:rsidR="00F2459D">
      <w:t>Approved</w:t>
    </w:r>
    <w:r w:rsidR="00F2459D">
      <w:fldChar w:fldCharType="end"/>
    </w:r>
    <w:r>
      <w:tab/>
      <w:t xml:space="preserve">Page </w:t>
    </w:r>
    <w:r>
      <w:fldChar w:fldCharType="begin"/>
    </w:r>
    <w:r>
      <w:instrText xml:space="preserve"> PAGE  \* Arabic  \* MERGEFORMAT </w:instrText>
    </w:r>
    <w:r>
      <w:fldChar w:fldCharType="separate"/>
    </w:r>
    <w:r w:rsidR="00F2459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459D">
      <w:rPr>
        <w:noProof/>
      </w:rPr>
      <w:t>5</w:t>
    </w:r>
    <w:r>
      <w:rPr>
        <w:noProof/>
      </w:rPr>
      <w:fldChar w:fldCharType="end"/>
    </w:r>
  </w:p>
  <w:p w:rsidR="00D775D5" w:rsidP="00D775D5">
    <w:pPr>
      <w:pStyle w:val="Footer"/>
      <w:framePr w:wrap="around"/>
    </w:pPr>
    <w:r>
      <w:t xml:space="preserve">© Commonwealth of Australia, </w:t>
    </w:r>
    <w:r>
      <w:fldChar w:fldCharType="begin"/>
    </w:r>
    <w:r>
      <w:instrText xml:space="preserve"> DATE  \@ "yyyy"  \* MERGEFORMAT </w:instrText>
    </w:r>
    <w:r>
      <w:fldChar w:fldCharType="separate"/>
    </w:r>
    <w:r w:rsidR="00F2459D">
      <w:rPr>
        <w:noProof/>
      </w:rPr>
      <w:t>2025</w:t>
    </w:r>
    <w:r>
      <w:fldChar w:fldCharType="end"/>
    </w:r>
    <w:r>
      <w:tab/>
    </w:r>
    <w:r>
      <w:fldChar w:fldCharType="begin"/>
    </w:r>
    <w:r>
      <w:instrText xml:space="preserve"> DOCPROPERTY  Author  \* MERGEFORMAT </w:instrText>
    </w:r>
    <w:r>
      <w:fldChar w:fldCharType="separate"/>
    </w:r>
    <w:r w:rsidR="00F2459D">
      <w:t>BuildSkills Australia</w:t>
    </w:r>
    <w:r w:rsidR="00F2459D">
      <w:fldChar w:fldCharType="end"/>
    </w:r>
  </w:p>
  <w:p w:rsidR="00D775D5" w:rsidP="00D775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5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5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75D5" w:rsidRPr="00F2459D" w:rsidP="00F245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5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59D" w:rsidRPr="002D2AF8" w:rsidP="00D775D5">
    <w:pPr>
      <w:pStyle w:val="Header"/>
      <w:framePr w:wrap="around"/>
    </w:pPr>
    <w:r>
      <w:fldChar w:fldCharType="begin"/>
    </w:r>
    <w:r>
      <w:instrText xml:space="preserve"> TITLE   \* MERGEFORMAT </w:instrText>
    </w:r>
    <w:r>
      <w:fldChar w:fldCharType="separate"/>
    </w:r>
    <w:r>
      <w:t>CPPBDN4002 Research and apply compliance requirements to technical construction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2459D" w:rsidP="00D775D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5D5" w:rsidRPr="002D2AF8" w:rsidP="00D775D5">
    <w:pPr>
      <w:pStyle w:val="Header"/>
      <w:framePr w:wrap="around"/>
    </w:pPr>
    <w:r>
      <w:fldChar w:fldCharType="begin"/>
    </w:r>
    <w:r>
      <w:instrText xml:space="preserve"> TITLE   \* MERGEFORMAT </w:instrText>
    </w:r>
    <w:r>
      <w:fldChar w:fldCharType="separate"/>
    </w:r>
    <w:r w:rsidR="00F2459D">
      <w:t>CPPBDN4002 Research and apply compliance requirements to technical construction documentation</w:t>
    </w:r>
    <w:r w:rsidR="00F2459D">
      <w:fldChar w:fldCharType="end"/>
    </w:r>
    <w:r>
      <w:tab/>
      <w:t xml:space="preserve">Date this document was generated: </w:t>
    </w:r>
    <w:r>
      <w:fldChar w:fldCharType="begin"/>
    </w:r>
    <w:r>
      <w:instrText xml:space="preserve"> CREATEDATE  \@ "d MMMM yyyy"  \* MERGEFORMAT </w:instrText>
    </w:r>
    <w:r>
      <w:fldChar w:fldCharType="separate"/>
    </w:r>
    <w:r w:rsidR="00F2459D">
      <w:rPr>
        <w:noProof/>
      </w:rPr>
      <w:t>1 March 2025</w:t>
    </w:r>
    <w:r>
      <w:fldChar w:fldCharType="end"/>
    </w:r>
  </w:p>
  <w:p w:rsidR="00D775D5" w:rsidP="00D775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AE56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2CDE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74DE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75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75D5"/>
    <w:pPr>
      <w:spacing w:before="360" w:after="60"/>
      <w:outlineLvl w:val="0"/>
    </w:pPr>
    <w:rPr>
      <w:sz w:val="32"/>
    </w:rPr>
  </w:style>
  <w:style w:type="paragraph" w:styleId="Heading2">
    <w:name w:val="heading 2"/>
    <w:basedOn w:val="HeadingBase"/>
    <w:next w:val="BodyText"/>
    <w:link w:val="Heading2Char"/>
    <w:qFormat/>
    <w:rsid w:val="00D775D5"/>
    <w:pPr>
      <w:keepLines/>
      <w:spacing w:before="240" w:after="120"/>
      <w:outlineLvl w:val="1"/>
    </w:pPr>
    <w:rPr>
      <w:sz w:val="28"/>
      <w:szCs w:val="40"/>
    </w:rPr>
  </w:style>
  <w:style w:type="paragraph" w:styleId="Heading3">
    <w:name w:val="heading 3"/>
    <w:basedOn w:val="HeadingBase"/>
    <w:next w:val="BodyText"/>
    <w:link w:val="Heading3Char"/>
    <w:qFormat/>
    <w:rsid w:val="00D775D5"/>
    <w:pPr>
      <w:spacing w:before="180" w:after="120"/>
      <w:outlineLvl w:val="2"/>
    </w:pPr>
    <w:rPr>
      <w:spacing w:val="-10"/>
      <w:kern w:val="32"/>
    </w:rPr>
  </w:style>
  <w:style w:type="paragraph" w:styleId="Heading4">
    <w:name w:val="heading 4"/>
    <w:basedOn w:val="HeadingBase"/>
    <w:next w:val="BodyText"/>
    <w:link w:val="Heading4Char"/>
    <w:qFormat/>
    <w:rsid w:val="00D775D5"/>
    <w:pPr>
      <w:spacing w:before="160" w:after="120"/>
      <w:outlineLvl w:val="3"/>
    </w:pPr>
    <w:rPr>
      <w:sz w:val="22"/>
    </w:rPr>
  </w:style>
  <w:style w:type="paragraph" w:styleId="Heading5">
    <w:name w:val="heading 5"/>
    <w:basedOn w:val="HeadingBase"/>
    <w:next w:val="Normal"/>
    <w:link w:val="Heading5Char"/>
    <w:qFormat/>
    <w:rsid w:val="00D775D5"/>
    <w:pPr>
      <w:spacing w:before="80"/>
      <w:outlineLvl w:val="4"/>
    </w:pPr>
    <w:rPr>
      <w:color w:val="918585"/>
      <w:sz w:val="20"/>
    </w:rPr>
  </w:style>
  <w:style w:type="paragraph" w:styleId="Heading6">
    <w:name w:val="heading 6"/>
    <w:basedOn w:val="HeadingBase"/>
    <w:next w:val="Normal"/>
    <w:link w:val="Heading6Char"/>
    <w:qFormat/>
    <w:rsid w:val="00D775D5"/>
    <w:pPr>
      <w:spacing w:before="60"/>
      <w:outlineLvl w:val="5"/>
    </w:pPr>
    <w:rPr>
      <w:color w:val="918585"/>
      <w:sz w:val="20"/>
    </w:rPr>
  </w:style>
  <w:style w:type="paragraph" w:styleId="Heading7">
    <w:name w:val="heading 7"/>
    <w:basedOn w:val="Normal"/>
    <w:next w:val="Normal"/>
    <w:link w:val="Heading7Char"/>
    <w:qFormat/>
    <w:rsid w:val="00D775D5"/>
    <w:pPr>
      <w:ind w:left="720"/>
      <w:outlineLvl w:val="6"/>
    </w:pPr>
    <w:rPr>
      <w:i/>
    </w:rPr>
  </w:style>
  <w:style w:type="paragraph" w:styleId="Heading8">
    <w:name w:val="heading 8"/>
    <w:basedOn w:val="Normal"/>
    <w:next w:val="Normal"/>
    <w:link w:val="Heading8Char"/>
    <w:qFormat/>
    <w:rsid w:val="00D775D5"/>
    <w:pPr>
      <w:ind w:left="720"/>
      <w:outlineLvl w:val="7"/>
    </w:pPr>
    <w:rPr>
      <w:i/>
    </w:rPr>
  </w:style>
  <w:style w:type="paragraph" w:styleId="Heading9">
    <w:name w:val="heading 9"/>
    <w:basedOn w:val="Normal"/>
    <w:next w:val="Normal"/>
    <w:link w:val="Heading9Char"/>
    <w:qFormat/>
    <w:rsid w:val="00D775D5"/>
    <w:pPr>
      <w:ind w:left="720"/>
      <w:outlineLvl w:val="8"/>
    </w:pPr>
    <w:rPr>
      <w:i/>
    </w:rPr>
  </w:style>
  <w:style w:type="character" w:default="1" w:styleId="DefaultParagraphFont">
    <w:name w:val="Default Paragraph Font"/>
    <w:uiPriority w:val="1"/>
    <w:unhideWhenUsed/>
    <w:rsid w:val="00D775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75D5"/>
  </w:style>
  <w:style w:type="character" w:customStyle="1" w:styleId="Heading1Char">
    <w:name w:val="Heading 1 Char"/>
    <w:basedOn w:val="DefaultParagraphFont"/>
    <w:link w:val="Heading1"/>
    <w:rsid w:val="00D775D5"/>
    <w:rPr>
      <w:rFonts w:ascii="Times New Roman" w:eastAsia="Times New Roman" w:hAnsi="Times New Roman" w:cs="Times New Roman"/>
      <w:b/>
      <w:sz w:val="32"/>
      <w:szCs w:val="20"/>
      <w:lang w:eastAsia="en-US"/>
    </w:rPr>
  </w:style>
  <w:style w:type="paragraph" w:styleId="BodyText">
    <w:name w:val="Body Text"/>
    <w:basedOn w:val="Normal"/>
    <w:link w:val="BodyTextChar"/>
    <w:rsid w:val="00D775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75D5"/>
    <w:rPr>
      <w:rFonts w:ascii="Times New Roman" w:eastAsia="Times New Roman" w:hAnsi="Times New Roman" w:cs="Times New Roman"/>
      <w:sz w:val="24"/>
      <w:lang w:eastAsia="en-US"/>
    </w:rPr>
  </w:style>
  <w:style w:type="paragraph" w:styleId="ListBullet">
    <w:name w:val="List Bullet"/>
    <w:basedOn w:val="List"/>
    <w:rsid w:val="00D775D5"/>
    <w:pPr>
      <w:numPr>
        <w:numId w:val="13"/>
      </w:numPr>
      <w:tabs>
        <w:tab w:val="clear" w:pos="340"/>
      </w:tabs>
      <w:spacing w:before="40" w:after="40"/>
    </w:pPr>
  </w:style>
  <w:style w:type="character" w:customStyle="1" w:styleId="SpecialBold">
    <w:name w:val="Special Bold"/>
    <w:basedOn w:val="DefaultParagraphFont"/>
    <w:rsid w:val="00D775D5"/>
    <w:rPr>
      <w:b/>
      <w:spacing w:val="0"/>
    </w:rPr>
  </w:style>
  <w:style w:type="paragraph" w:styleId="ListBullet2">
    <w:name w:val="List Bullet 2"/>
    <w:basedOn w:val="List2"/>
    <w:rsid w:val="00D775D5"/>
    <w:pPr>
      <w:numPr>
        <w:numId w:val="14"/>
      </w:numPr>
      <w:tabs>
        <w:tab w:val="clear" w:pos="680"/>
      </w:tabs>
    </w:pPr>
  </w:style>
  <w:style w:type="paragraph" w:customStyle="1" w:styleId="SuperHeading">
    <w:name w:val="SuperHeading"/>
    <w:basedOn w:val="Normal"/>
    <w:rsid w:val="00D775D5"/>
    <w:pPr>
      <w:spacing w:before="240" w:after="120"/>
      <w:outlineLvl w:val="0"/>
    </w:pPr>
    <w:rPr>
      <w:rFonts w:ascii="Times New Roman" w:hAnsi="Times New Roman"/>
      <w:b/>
      <w:sz w:val="32"/>
    </w:rPr>
  </w:style>
  <w:style w:type="paragraph" w:customStyle="1" w:styleId="AllowPageBreak">
    <w:name w:val="AllowPageBreak"/>
    <w:rsid w:val="00D775D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775D5"/>
    <w:pPr>
      <w:numPr>
        <w:numId w:val="3"/>
      </w:numPr>
      <w:tabs>
        <w:tab w:val="clear" w:pos="1021"/>
      </w:tabs>
      <w:ind w:left="1037" w:hanging="357"/>
    </w:pPr>
  </w:style>
  <w:style w:type="character" w:customStyle="1" w:styleId="BoldandItalics">
    <w:name w:val="Bold and Italics"/>
    <w:qFormat/>
    <w:rsid w:val="00D775D5"/>
    <w:rPr>
      <w:b/>
      <w:i/>
      <w:u w:val="none"/>
    </w:rPr>
  </w:style>
  <w:style w:type="character" w:customStyle="1" w:styleId="Heading2Char">
    <w:name w:val="Heading 2 Char"/>
    <w:basedOn w:val="DefaultParagraphFont"/>
    <w:link w:val="Heading2"/>
    <w:rsid w:val="00D775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75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75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75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75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75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75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75D5"/>
    <w:rPr>
      <w:rFonts w:ascii="Courier New" w:eastAsia="Times New Roman" w:hAnsi="Courier New" w:cs="Times New Roman"/>
      <w:i/>
      <w:szCs w:val="20"/>
      <w:lang w:eastAsia="en-US"/>
    </w:rPr>
  </w:style>
  <w:style w:type="paragraph" w:customStyle="1" w:styleId="HeadingBase">
    <w:name w:val="Heading Base"/>
    <w:rsid w:val="00D775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75D5"/>
    <w:pPr>
      <w:tabs>
        <w:tab w:val="right" w:leader="dot" w:pos="9072"/>
      </w:tabs>
      <w:ind w:left="567"/>
    </w:pPr>
    <w:rPr>
      <w:szCs w:val="22"/>
    </w:rPr>
  </w:style>
  <w:style w:type="paragraph" w:customStyle="1" w:styleId="TOCBase">
    <w:name w:val="TOC Base"/>
    <w:rsid w:val="00D775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75D5"/>
    <w:pPr>
      <w:tabs>
        <w:tab w:val="right" w:leader="dot" w:pos="9072"/>
      </w:tabs>
      <w:spacing w:before="40" w:after="40"/>
      <w:ind w:left="284"/>
    </w:pPr>
    <w:rPr>
      <w:rFonts w:ascii="Times New Roman" w:hAnsi="Times New Roman"/>
    </w:rPr>
  </w:style>
  <w:style w:type="paragraph" w:styleId="TOC1">
    <w:name w:val="toc 1"/>
    <w:basedOn w:val="TOCBase"/>
    <w:next w:val="Normal"/>
    <w:rsid w:val="00D775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75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75D5"/>
    <w:rPr>
      <w:rFonts w:ascii="Times New Roman" w:eastAsia="Times New Roman" w:hAnsi="Times New Roman" w:cs="Times New Roman"/>
      <w:sz w:val="16"/>
      <w:lang w:eastAsia="en-US"/>
    </w:rPr>
  </w:style>
  <w:style w:type="paragraph" w:styleId="Title">
    <w:name w:val="Title"/>
    <w:basedOn w:val="HeadingBase"/>
    <w:link w:val="TitleChar"/>
    <w:qFormat/>
    <w:rsid w:val="00D775D5"/>
    <w:pPr>
      <w:spacing w:before="5040"/>
      <w:jc w:val="center"/>
    </w:pPr>
    <w:rPr>
      <w:sz w:val="48"/>
      <w:szCs w:val="72"/>
      <w:lang w:val="en-US"/>
    </w:rPr>
  </w:style>
  <w:style w:type="character" w:customStyle="1" w:styleId="TitleChar">
    <w:name w:val="Title Char"/>
    <w:basedOn w:val="DefaultParagraphFont"/>
    <w:link w:val="Title"/>
    <w:rsid w:val="00D775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75D5"/>
    <w:pPr>
      <w:tabs>
        <w:tab w:val="left" w:pos="3600"/>
        <w:tab w:val="left" w:pos="3958"/>
      </w:tabs>
    </w:pPr>
  </w:style>
  <w:style w:type="paragraph" w:styleId="List">
    <w:name w:val="List"/>
    <w:basedOn w:val="BodyText"/>
    <w:next w:val="BodyText"/>
    <w:rsid w:val="00D775D5"/>
    <w:pPr>
      <w:tabs>
        <w:tab w:val="left" w:pos="340"/>
      </w:tabs>
      <w:spacing w:before="60" w:after="60"/>
      <w:ind w:left="340" w:hanging="340"/>
    </w:pPr>
  </w:style>
  <w:style w:type="paragraph" w:customStyle="1" w:styleId="Note">
    <w:name w:val="Note"/>
    <w:basedOn w:val="BodyText"/>
    <w:rsid w:val="00D775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75D5"/>
    <w:pPr>
      <w:framePr w:wrap="auto" w:hAnchor="text" w:y="6049"/>
    </w:pPr>
    <w:rPr>
      <w:color w:val="000000"/>
      <w:sz w:val="40"/>
    </w:rPr>
  </w:style>
  <w:style w:type="paragraph" w:customStyle="1" w:styleId="TOCTitle">
    <w:name w:val="TOCTitle"/>
    <w:basedOn w:val="Heading1"/>
    <w:rsid w:val="00D775D5"/>
    <w:pPr>
      <w:spacing w:after="240"/>
      <w:jc w:val="center"/>
      <w:outlineLvl w:val="9"/>
    </w:pPr>
    <w:rPr>
      <w:caps/>
    </w:rPr>
  </w:style>
  <w:style w:type="paragraph" w:customStyle="1" w:styleId="Version">
    <w:name w:val="Version"/>
    <w:rsid w:val="00D775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75D5"/>
    <w:pPr>
      <w:keepNext w:val="0"/>
      <w:tabs>
        <w:tab w:val="right" w:pos="4176"/>
      </w:tabs>
      <w:ind w:left="198" w:hanging="198"/>
    </w:pPr>
    <w:rPr>
      <w:rFonts w:ascii="Garamond" w:hAnsi="Garamond"/>
    </w:rPr>
  </w:style>
  <w:style w:type="paragraph" w:styleId="IndexHeading">
    <w:name w:val="index heading"/>
    <w:basedOn w:val="Normal"/>
    <w:next w:val="Index1"/>
    <w:semiHidden/>
    <w:rsid w:val="00D775D5"/>
    <w:pPr>
      <w:spacing w:before="120" w:after="120"/>
    </w:pPr>
    <w:rPr>
      <w:rFonts w:ascii="Arial" w:hAnsi="Arial"/>
      <w:b/>
      <w:color w:val="918585"/>
      <w:sz w:val="24"/>
    </w:rPr>
  </w:style>
  <w:style w:type="paragraph" w:styleId="Header">
    <w:name w:val="header"/>
    <w:basedOn w:val="Normal"/>
    <w:link w:val="HeaderChar"/>
    <w:rsid w:val="00D775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75D5"/>
    <w:rPr>
      <w:rFonts w:ascii="Times New Roman" w:eastAsia="Times New Roman" w:hAnsi="Times New Roman" w:cs="Times New Roman"/>
      <w:sz w:val="16"/>
      <w:szCs w:val="20"/>
      <w:lang w:val="en-GB" w:eastAsia="en-US"/>
    </w:rPr>
  </w:style>
  <w:style w:type="paragraph" w:customStyle="1" w:styleId="Chapter">
    <w:name w:val="Chapter"/>
    <w:basedOn w:val="Normal"/>
    <w:rsid w:val="00D775D5"/>
    <w:pPr>
      <w:spacing w:before="240"/>
    </w:pPr>
    <w:rPr>
      <w:rFonts w:ascii="Times New Roman" w:hAnsi="Times New Roman"/>
      <w:smallCaps/>
      <w:spacing w:val="80"/>
      <w:sz w:val="28"/>
    </w:rPr>
  </w:style>
  <w:style w:type="paragraph" w:customStyle="1" w:styleId="InChapter">
    <w:name w:val="InChapter"/>
    <w:basedOn w:val="Heading3"/>
    <w:rsid w:val="00D775D5"/>
    <w:pPr>
      <w:spacing w:after="240"/>
      <w:outlineLvl w:val="9"/>
    </w:pPr>
    <w:rPr>
      <w:noProof/>
    </w:rPr>
  </w:style>
  <w:style w:type="paragraph" w:styleId="Index2">
    <w:name w:val="index 2"/>
    <w:basedOn w:val="Normal"/>
    <w:next w:val="Normal"/>
    <w:semiHidden/>
    <w:rsid w:val="00D775D5"/>
    <w:pPr>
      <w:tabs>
        <w:tab w:val="right" w:pos="4176"/>
      </w:tabs>
      <w:ind w:left="568" w:hanging="284"/>
    </w:pPr>
    <w:rPr>
      <w:rFonts w:ascii="Garamond" w:hAnsi="Garamond"/>
    </w:rPr>
  </w:style>
  <w:style w:type="paragraph" w:customStyle="1" w:styleId="Byline">
    <w:name w:val="Byline"/>
    <w:rsid w:val="00D775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75D5"/>
    <w:pPr>
      <w:tabs>
        <w:tab w:val="clear" w:pos="3600"/>
        <w:tab w:val="clear" w:pos="3958"/>
      </w:tabs>
      <w:jc w:val="right"/>
    </w:pPr>
  </w:style>
  <w:style w:type="character" w:styleId="Emphasis">
    <w:name w:val="Emphasis"/>
    <w:basedOn w:val="DefaultParagraphFont"/>
    <w:qFormat/>
    <w:rsid w:val="00D775D5"/>
    <w:rPr>
      <w:i/>
    </w:rPr>
  </w:style>
  <w:style w:type="paragraph" w:styleId="Caption">
    <w:name w:val="caption"/>
    <w:basedOn w:val="BodyText"/>
    <w:next w:val="Normal"/>
    <w:qFormat/>
    <w:rsid w:val="00D775D5"/>
    <w:pPr>
      <w:framePr w:w="2268" w:hSpace="181" w:vSpace="181" w:wrap="around" w:vAnchor="text" w:hAnchor="page" w:x="1135" w:y="285" w:anchorLock="1"/>
    </w:pPr>
    <w:rPr>
      <w:i/>
    </w:rPr>
  </w:style>
  <w:style w:type="paragraph" w:customStyle="1" w:styleId="MiniTOCTitle">
    <w:name w:val="MiniTOCTitle"/>
    <w:basedOn w:val="Heading4"/>
    <w:rsid w:val="00D775D5"/>
    <w:pPr>
      <w:spacing w:before="240"/>
      <w:outlineLvl w:val="9"/>
    </w:pPr>
    <w:rPr>
      <w:noProof/>
      <w:sz w:val="24"/>
    </w:rPr>
  </w:style>
  <w:style w:type="paragraph" w:customStyle="1" w:styleId="MiniTOCItem">
    <w:name w:val="MiniTOCItem"/>
    <w:basedOn w:val="ListBullet"/>
    <w:rsid w:val="00D775D5"/>
    <w:pPr>
      <w:numPr>
        <w:numId w:val="0"/>
      </w:numPr>
      <w:tabs>
        <w:tab w:val="right" w:leader="dot" w:pos="6521"/>
      </w:tabs>
      <w:spacing w:before="0" w:after="0"/>
    </w:pPr>
  </w:style>
  <w:style w:type="paragraph" w:customStyle="1" w:styleId="TOFTitle">
    <w:name w:val="TOFTitle"/>
    <w:basedOn w:val="TOCTitle"/>
    <w:rsid w:val="00D775D5"/>
  </w:style>
  <w:style w:type="paragraph" w:styleId="TableofFigures">
    <w:name w:val="table of figures"/>
    <w:basedOn w:val="Normal"/>
    <w:next w:val="Normal"/>
    <w:semiHidden/>
    <w:rsid w:val="00D775D5"/>
    <w:pPr>
      <w:tabs>
        <w:tab w:val="right" w:leader="dot" w:pos="9072"/>
      </w:tabs>
      <w:ind w:left="970" w:hanging="403"/>
    </w:pPr>
    <w:rPr>
      <w:rFonts w:ascii="Times New Roman" w:hAnsi="Times New Roman"/>
      <w:b/>
    </w:rPr>
  </w:style>
  <w:style w:type="paragraph" w:styleId="ListNumber">
    <w:name w:val="List Number"/>
    <w:basedOn w:val="List"/>
    <w:rsid w:val="00D775D5"/>
    <w:pPr>
      <w:numPr>
        <w:numId w:val="16"/>
      </w:numPr>
      <w:tabs>
        <w:tab w:val="clear" w:pos="340"/>
      </w:tabs>
    </w:pPr>
  </w:style>
  <w:style w:type="character" w:customStyle="1" w:styleId="WingdingSymbols">
    <w:name w:val="Wingding Symbols"/>
    <w:rsid w:val="00D775D5"/>
    <w:rPr>
      <w:rFonts w:ascii="Wingdings" w:hAnsi="Wingdings"/>
    </w:rPr>
  </w:style>
  <w:style w:type="paragraph" w:customStyle="1" w:styleId="TableHeading">
    <w:name w:val="Table Heading"/>
    <w:basedOn w:val="HeadingBase"/>
    <w:rsid w:val="00D775D5"/>
    <w:pPr>
      <w:keepLines/>
      <w:pBdr>
        <w:bottom w:val="single" w:sz="6" w:space="1" w:color="918585"/>
      </w:pBdr>
      <w:spacing w:before="240"/>
    </w:pPr>
  </w:style>
  <w:style w:type="character" w:customStyle="1" w:styleId="HotSpot">
    <w:name w:val="HotSpot"/>
    <w:rsid w:val="00D775D5"/>
    <w:rPr>
      <w:color w:val="0033CC"/>
      <w:u w:val="none"/>
    </w:rPr>
  </w:style>
  <w:style w:type="paragraph" w:customStyle="1" w:styleId="BodyTextRight">
    <w:name w:val="Body Text Right"/>
    <w:basedOn w:val="BodyText"/>
    <w:rsid w:val="00D775D5"/>
    <w:pPr>
      <w:spacing w:before="0" w:after="0"/>
      <w:jc w:val="right"/>
    </w:pPr>
  </w:style>
  <w:style w:type="paragraph" w:styleId="Index3">
    <w:name w:val="index 3"/>
    <w:basedOn w:val="ListNumber2"/>
    <w:next w:val="Normal"/>
    <w:semiHidden/>
    <w:rsid w:val="00D775D5"/>
    <w:pPr>
      <w:numPr>
        <w:numId w:val="0"/>
      </w:numPr>
      <w:tabs>
        <w:tab w:val="right" w:leader="dot" w:pos="4176"/>
      </w:tabs>
    </w:pPr>
  </w:style>
  <w:style w:type="paragraph" w:styleId="ListNumber2">
    <w:name w:val="List Number 2"/>
    <w:basedOn w:val="List2"/>
    <w:rsid w:val="00D775D5"/>
    <w:pPr>
      <w:numPr>
        <w:numId w:val="11"/>
      </w:numPr>
      <w:tabs>
        <w:tab w:val="clear" w:pos="1060"/>
      </w:tabs>
    </w:pPr>
  </w:style>
  <w:style w:type="paragraph" w:customStyle="1" w:styleId="MarginNote">
    <w:name w:val="Margin Note"/>
    <w:basedOn w:val="BodyText"/>
    <w:rsid w:val="00D775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75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75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75D5"/>
    <w:rPr>
      <w:sz w:val="32"/>
    </w:rPr>
  </w:style>
  <w:style w:type="paragraph" w:customStyle="1" w:styleId="HeadingProcedure">
    <w:name w:val="Heading Procedure"/>
    <w:basedOn w:val="HeadingBase"/>
    <w:next w:val="Normal"/>
    <w:rsid w:val="00D775D5"/>
    <w:pPr>
      <w:tabs>
        <w:tab w:val="left" w:pos="0"/>
      </w:tabs>
      <w:spacing w:before="120" w:after="60"/>
    </w:pPr>
    <w:rPr>
      <w:i/>
      <w:color w:val="918585"/>
      <w:sz w:val="22"/>
    </w:rPr>
  </w:style>
  <w:style w:type="paragraph" w:customStyle="1" w:styleId="TableBodyText">
    <w:name w:val="Table Body Text"/>
    <w:basedOn w:val="BodyText"/>
    <w:rsid w:val="00D775D5"/>
    <w:pPr>
      <w:spacing w:before="60" w:after="60"/>
    </w:pPr>
  </w:style>
  <w:style w:type="paragraph" w:styleId="ListContinue">
    <w:name w:val="List Continue"/>
    <w:basedOn w:val="List"/>
    <w:rsid w:val="00D775D5"/>
    <w:pPr>
      <w:ind w:firstLine="0"/>
    </w:pPr>
  </w:style>
  <w:style w:type="paragraph" w:customStyle="1" w:styleId="ListNote">
    <w:name w:val="List Note"/>
    <w:basedOn w:val="List"/>
    <w:rsid w:val="00D775D5"/>
    <w:pPr>
      <w:pBdr>
        <w:top w:val="single" w:sz="6" w:space="2" w:color="918585"/>
        <w:bottom w:val="single" w:sz="6" w:space="2" w:color="918585"/>
      </w:pBdr>
      <w:tabs>
        <w:tab w:val="left" w:pos="1021"/>
      </w:tabs>
      <w:ind w:firstLine="0"/>
    </w:pPr>
  </w:style>
  <w:style w:type="paragraph" w:customStyle="1" w:styleId="Warning">
    <w:name w:val="Warning"/>
    <w:basedOn w:val="BodyText"/>
    <w:rsid w:val="00D775D5"/>
    <w:pPr>
      <w:shd w:val="clear" w:color="auto" w:fill="D9D9D9"/>
      <w:tabs>
        <w:tab w:val="left" w:pos="992"/>
      </w:tabs>
      <w:ind w:left="119" w:right="119"/>
    </w:pPr>
    <w:rPr>
      <w:sz w:val="20"/>
    </w:rPr>
  </w:style>
  <w:style w:type="paragraph" w:customStyle="1" w:styleId="MarginIcons">
    <w:name w:val="Margin Icons"/>
    <w:basedOn w:val="BodyText"/>
    <w:rsid w:val="00D775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75D5"/>
    <w:rPr>
      <w:rFonts w:ascii="Courier New" w:hAnsi="Courier New"/>
    </w:rPr>
  </w:style>
  <w:style w:type="paragraph" w:customStyle="1" w:styleId="NoteBullet">
    <w:name w:val="Note Bullet"/>
    <w:basedOn w:val="Note"/>
    <w:rsid w:val="00D775D5"/>
    <w:pPr>
      <w:tabs>
        <w:tab w:val="clear" w:pos="680"/>
      </w:tabs>
      <w:spacing w:before="60" w:after="60"/>
    </w:pPr>
  </w:style>
  <w:style w:type="paragraph" w:customStyle="1" w:styleId="SubHeading2">
    <w:name w:val="SubHeading2"/>
    <w:basedOn w:val="HeadingBase"/>
    <w:rsid w:val="00D775D5"/>
    <w:pPr>
      <w:spacing w:before="240" w:after="60"/>
    </w:pPr>
    <w:rPr>
      <w:sz w:val="20"/>
    </w:rPr>
  </w:style>
  <w:style w:type="paragraph" w:customStyle="1" w:styleId="SubHeading1">
    <w:name w:val="SubHeading1"/>
    <w:basedOn w:val="HeadingBase"/>
    <w:rsid w:val="00D775D5"/>
    <w:pPr>
      <w:spacing w:before="240" w:after="60"/>
    </w:pPr>
    <w:rPr>
      <w:color w:val="918585"/>
      <w:sz w:val="22"/>
    </w:rPr>
  </w:style>
  <w:style w:type="paragraph" w:customStyle="1" w:styleId="SideHeading">
    <w:name w:val="Side Heading"/>
    <w:basedOn w:val="HeadingBase"/>
    <w:rsid w:val="00D775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75D5"/>
    <w:pPr>
      <w:numPr>
        <w:numId w:val="12"/>
      </w:numPr>
    </w:pPr>
  </w:style>
  <w:style w:type="paragraph" w:styleId="PlainText">
    <w:name w:val="Plain Text"/>
    <w:basedOn w:val="Normal"/>
    <w:link w:val="PlainTextChar"/>
    <w:rsid w:val="00D775D5"/>
    <w:rPr>
      <w:sz w:val="20"/>
    </w:rPr>
  </w:style>
  <w:style w:type="character" w:customStyle="1" w:styleId="PlainTextChar">
    <w:name w:val="Plain Text Char"/>
    <w:basedOn w:val="DefaultParagraphFont"/>
    <w:link w:val="PlainText"/>
    <w:rsid w:val="00D775D5"/>
    <w:rPr>
      <w:rFonts w:ascii="Courier New" w:eastAsia="Times New Roman" w:hAnsi="Courier New" w:cs="Times New Roman"/>
      <w:sz w:val="20"/>
      <w:szCs w:val="20"/>
      <w:lang w:eastAsia="en-US"/>
    </w:rPr>
  </w:style>
  <w:style w:type="character" w:customStyle="1" w:styleId="MenuOption">
    <w:name w:val="Menu Option"/>
    <w:basedOn w:val="DefaultParagraphFont"/>
    <w:rsid w:val="00D775D5"/>
    <w:rPr>
      <w:b/>
      <w:smallCaps/>
    </w:rPr>
  </w:style>
  <w:style w:type="paragraph" w:customStyle="1" w:styleId="TableListNumber">
    <w:name w:val="Table List Number"/>
    <w:basedOn w:val="ListNumber"/>
    <w:rsid w:val="00D775D5"/>
    <w:pPr>
      <w:numPr>
        <w:numId w:val="0"/>
      </w:numPr>
    </w:pPr>
  </w:style>
  <w:style w:type="paragraph" w:styleId="TOC4">
    <w:name w:val="toc 4"/>
    <w:basedOn w:val="TOCBase"/>
    <w:next w:val="Normal"/>
    <w:semiHidden/>
    <w:rsid w:val="00D775D5"/>
    <w:pPr>
      <w:tabs>
        <w:tab w:val="right" w:leader="dot" w:pos="9071"/>
      </w:tabs>
      <w:ind w:left="1701"/>
    </w:pPr>
  </w:style>
  <w:style w:type="paragraph" w:customStyle="1" w:styleId="ListAlpha">
    <w:name w:val="List Alpha"/>
    <w:basedOn w:val="List"/>
    <w:rsid w:val="00D775D5"/>
    <w:pPr>
      <w:numPr>
        <w:numId w:val="10"/>
      </w:numPr>
    </w:pPr>
  </w:style>
  <w:style w:type="paragraph" w:customStyle="1" w:styleId="ListAlpha2">
    <w:name w:val="List Alpha 2"/>
    <w:basedOn w:val="List2"/>
    <w:rsid w:val="00D775D5"/>
    <w:pPr>
      <w:numPr>
        <w:numId w:val="9"/>
      </w:numPr>
    </w:pPr>
  </w:style>
  <w:style w:type="paragraph" w:styleId="List2">
    <w:name w:val="List 2"/>
    <w:basedOn w:val="BodyText"/>
    <w:rsid w:val="00D775D5"/>
    <w:pPr>
      <w:tabs>
        <w:tab w:val="left" w:pos="680"/>
      </w:tabs>
      <w:spacing w:before="60" w:after="60"/>
      <w:ind w:left="680" w:hanging="340"/>
    </w:pPr>
  </w:style>
  <w:style w:type="paragraph" w:styleId="List3">
    <w:name w:val="List 3"/>
    <w:basedOn w:val="BodyText"/>
    <w:rsid w:val="00D775D5"/>
    <w:pPr>
      <w:tabs>
        <w:tab w:val="left" w:pos="1021"/>
      </w:tabs>
      <w:spacing w:before="60" w:after="60"/>
      <w:ind w:left="1020" w:hanging="340"/>
    </w:pPr>
  </w:style>
  <w:style w:type="paragraph" w:styleId="List4">
    <w:name w:val="List 4"/>
    <w:basedOn w:val="BodyText"/>
    <w:rsid w:val="00D775D5"/>
    <w:pPr>
      <w:tabs>
        <w:tab w:val="left" w:pos="1361"/>
      </w:tabs>
      <w:spacing w:before="60" w:after="60"/>
      <w:ind w:left="1361" w:hanging="340"/>
    </w:pPr>
  </w:style>
  <w:style w:type="paragraph" w:styleId="List5">
    <w:name w:val="List 5"/>
    <w:basedOn w:val="BodyText"/>
    <w:rsid w:val="00D775D5"/>
    <w:pPr>
      <w:tabs>
        <w:tab w:val="left" w:pos="1701"/>
      </w:tabs>
      <w:spacing w:before="60" w:after="60"/>
      <w:ind w:left="1701" w:hanging="340"/>
    </w:pPr>
  </w:style>
  <w:style w:type="paragraph" w:styleId="ListBullet4">
    <w:name w:val="List Bullet 4"/>
    <w:basedOn w:val="List4"/>
    <w:rsid w:val="00D775D5"/>
    <w:pPr>
      <w:numPr>
        <w:numId w:val="4"/>
      </w:numPr>
      <w:tabs>
        <w:tab w:val="clear" w:pos="1361"/>
      </w:tabs>
    </w:pPr>
  </w:style>
  <w:style w:type="paragraph" w:styleId="ListBullet5">
    <w:name w:val="List Bullet 5"/>
    <w:basedOn w:val="List5"/>
    <w:rsid w:val="00D775D5"/>
    <w:pPr>
      <w:numPr>
        <w:numId w:val="5"/>
      </w:numPr>
    </w:pPr>
  </w:style>
  <w:style w:type="paragraph" w:styleId="ListContinue2">
    <w:name w:val="List Continue 2"/>
    <w:basedOn w:val="List2"/>
    <w:rsid w:val="00D775D5"/>
    <w:pPr>
      <w:ind w:firstLine="0"/>
    </w:pPr>
  </w:style>
  <w:style w:type="paragraph" w:styleId="ListContinue3">
    <w:name w:val="List Continue 3"/>
    <w:basedOn w:val="List3"/>
    <w:rsid w:val="00D775D5"/>
    <w:pPr>
      <w:ind w:left="1021" w:firstLine="0"/>
    </w:pPr>
  </w:style>
  <w:style w:type="paragraph" w:styleId="ListContinue4">
    <w:name w:val="List Continue 4"/>
    <w:basedOn w:val="List4"/>
    <w:rsid w:val="00D775D5"/>
    <w:pPr>
      <w:ind w:firstLine="0"/>
    </w:pPr>
  </w:style>
  <w:style w:type="paragraph" w:styleId="ListContinue5">
    <w:name w:val="List Continue 5"/>
    <w:basedOn w:val="List5"/>
    <w:rsid w:val="00D775D5"/>
    <w:pPr>
      <w:ind w:firstLine="0"/>
    </w:pPr>
  </w:style>
  <w:style w:type="paragraph" w:styleId="ListNumber3">
    <w:name w:val="List Number 3"/>
    <w:basedOn w:val="List3"/>
    <w:rsid w:val="00D775D5"/>
    <w:pPr>
      <w:numPr>
        <w:numId w:val="6"/>
      </w:numPr>
    </w:pPr>
  </w:style>
  <w:style w:type="paragraph" w:styleId="ListNumber4">
    <w:name w:val="List Number 4"/>
    <w:basedOn w:val="List4"/>
    <w:rsid w:val="00D775D5"/>
    <w:pPr>
      <w:numPr>
        <w:numId w:val="7"/>
      </w:numPr>
    </w:pPr>
  </w:style>
  <w:style w:type="paragraph" w:styleId="ListNumber5">
    <w:name w:val="List Number 5"/>
    <w:basedOn w:val="List5"/>
    <w:rsid w:val="00D775D5"/>
    <w:pPr>
      <w:numPr>
        <w:numId w:val="8"/>
      </w:numPr>
    </w:pPr>
  </w:style>
  <w:style w:type="paragraph" w:styleId="BlockText">
    <w:name w:val="Block Text"/>
    <w:basedOn w:val="Normal"/>
    <w:rsid w:val="00D775D5"/>
    <w:pPr>
      <w:spacing w:after="120"/>
      <w:ind w:left="1440" w:right="1440"/>
    </w:pPr>
  </w:style>
  <w:style w:type="character" w:customStyle="1" w:styleId="Subscript">
    <w:name w:val="Subscript"/>
    <w:basedOn w:val="DefaultParagraphFont"/>
    <w:rsid w:val="00D775D5"/>
    <w:rPr>
      <w:sz w:val="16"/>
      <w:vertAlign w:val="subscript"/>
    </w:rPr>
  </w:style>
  <w:style w:type="character" w:customStyle="1" w:styleId="Superscript">
    <w:name w:val="Superscript"/>
    <w:basedOn w:val="DefaultParagraphFont"/>
    <w:rsid w:val="00D775D5"/>
    <w:rPr>
      <w:sz w:val="16"/>
      <w:vertAlign w:val="superscript"/>
    </w:rPr>
  </w:style>
  <w:style w:type="character" w:customStyle="1" w:styleId="Symbols">
    <w:name w:val="Symbols"/>
    <w:basedOn w:val="DefaultParagraphFont"/>
    <w:rsid w:val="00D775D5"/>
    <w:rPr>
      <w:rFonts w:ascii="Symbol" w:hAnsi="Symbol"/>
    </w:rPr>
  </w:style>
  <w:style w:type="character" w:customStyle="1" w:styleId="MenuOptions">
    <w:name w:val="Menu Options"/>
    <w:basedOn w:val="DefaultParagraphFont"/>
    <w:rsid w:val="00D775D5"/>
    <w:rPr>
      <w:rFonts w:ascii="Arial Narrow" w:hAnsi="Arial Narrow"/>
      <w:smallCaps/>
    </w:rPr>
  </w:style>
  <w:style w:type="character" w:customStyle="1" w:styleId="Buttons">
    <w:name w:val="Buttons"/>
    <w:basedOn w:val="DefaultParagraphFont"/>
    <w:rsid w:val="00D775D5"/>
    <w:rPr>
      <w:b/>
    </w:rPr>
  </w:style>
  <w:style w:type="character" w:customStyle="1" w:styleId="Underlined">
    <w:name w:val="Underlined"/>
    <w:basedOn w:val="DefaultParagraphFont"/>
    <w:rsid w:val="00D775D5"/>
    <w:rPr>
      <w:u w:val="single"/>
    </w:rPr>
  </w:style>
  <w:style w:type="paragraph" w:customStyle="1" w:styleId="TableBodyTextRight">
    <w:name w:val="Table Body Text Right"/>
    <w:basedOn w:val="TableBodyText"/>
    <w:rsid w:val="00D775D5"/>
    <w:pPr>
      <w:widowControl w:val="0"/>
      <w:autoSpaceDE w:val="0"/>
      <w:autoSpaceDN w:val="0"/>
      <w:adjustRightInd w:val="0"/>
      <w:jc w:val="right"/>
    </w:pPr>
    <w:rPr>
      <w:rFonts w:cs="Arial"/>
      <w:szCs w:val="18"/>
    </w:rPr>
  </w:style>
  <w:style w:type="paragraph" w:customStyle="1" w:styleId="CopyrightText">
    <w:name w:val="Copyright Text"/>
    <w:basedOn w:val="BodyText"/>
    <w:rsid w:val="00D775D5"/>
    <w:rPr>
      <w:sz w:val="18"/>
    </w:rPr>
  </w:style>
  <w:style w:type="paragraph" w:customStyle="1" w:styleId="BodySmallRight">
    <w:name w:val="Body Small Right"/>
    <w:basedOn w:val="BodyTextRight"/>
    <w:rsid w:val="00D775D5"/>
    <w:rPr>
      <w:sz w:val="18"/>
      <w:szCs w:val="18"/>
    </w:rPr>
  </w:style>
  <w:style w:type="paragraph" w:customStyle="1" w:styleId="MarginEdition">
    <w:name w:val="Margin Edition"/>
    <w:basedOn w:val="MarginNote"/>
    <w:rsid w:val="00D775D5"/>
    <w:pPr>
      <w:spacing w:before="0" w:after="0"/>
    </w:pPr>
    <w:rPr>
      <w:rFonts w:ascii="Times New Roman" w:hAnsi="Times New Roman"/>
      <w:color w:val="999999"/>
    </w:rPr>
  </w:style>
  <w:style w:type="paragraph" w:customStyle="1" w:styleId="Spacer">
    <w:name w:val="Spacer"/>
    <w:basedOn w:val="Normal"/>
    <w:rsid w:val="00D775D5"/>
    <w:rPr>
      <w:sz w:val="2"/>
      <w:szCs w:val="2"/>
    </w:rPr>
  </w:style>
  <w:style w:type="character" w:customStyle="1" w:styleId="Small">
    <w:name w:val="Small"/>
    <w:basedOn w:val="DefaultParagraphFont"/>
    <w:rsid w:val="00D775D5"/>
    <w:rPr>
      <w:sz w:val="16"/>
    </w:rPr>
  </w:style>
  <w:style w:type="paragraph" w:customStyle="1" w:styleId="WideTable">
    <w:name w:val="Wide Table"/>
    <w:basedOn w:val="Normal"/>
    <w:rsid w:val="00D775D5"/>
    <w:pPr>
      <w:ind w:left="-1418"/>
    </w:pPr>
    <w:rPr>
      <w:sz w:val="2"/>
      <w:szCs w:val="2"/>
    </w:rPr>
  </w:style>
  <w:style w:type="character" w:styleId="PageNumber">
    <w:name w:val="page number"/>
    <w:basedOn w:val="DefaultParagraphFont"/>
    <w:rsid w:val="00D775D5"/>
  </w:style>
  <w:style w:type="paragraph" w:styleId="Quote">
    <w:name w:val="Quote"/>
    <w:basedOn w:val="Heading1"/>
    <w:link w:val="QuoteChar"/>
    <w:qFormat/>
    <w:rsid w:val="00D775D5"/>
    <w:rPr>
      <w:b w:val="0"/>
      <w:sz w:val="72"/>
      <w:szCs w:val="72"/>
      <w:lang w:val="en-NZ"/>
    </w:rPr>
  </w:style>
  <w:style w:type="character" w:customStyle="1" w:styleId="QuoteChar">
    <w:name w:val="Quote Char"/>
    <w:basedOn w:val="DefaultParagraphFont"/>
    <w:link w:val="Quote"/>
    <w:rsid w:val="00D775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75D5"/>
    <w:pPr>
      <w:pageBreakBefore/>
    </w:pPr>
  </w:style>
  <w:style w:type="paragraph" w:customStyle="1" w:styleId="Border">
    <w:name w:val="Border"/>
    <w:basedOn w:val="Normal"/>
    <w:qFormat/>
    <w:rsid w:val="00D775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75D5"/>
    <w:rPr>
      <w:b/>
      <w:bCs/>
      <w:i/>
      <w:iCs/>
      <w:color w:val="auto"/>
    </w:rPr>
  </w:style>
  <w:style w:type="paragraph" w:styleId="IntenseQuote">
    <w:name w:val="Intense Quote"/>
    <w:basedOn w:val="Normal"/>
    <w:next w:val="Normal"/>
    <w:link w:val="IntenseQuoteChar"/>
    <w:uiPriority w:val="30"/>
    <w:qFormat/>
    <w:rsid w:val="00D775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75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75D5"/>
    <w:rPr>
      <w:smallCaps/>
      <w:color w:val="auto"/>
      <w:u w:val="single"/>
    </w:rPr>
  </w:style>
  <w:style w:type="character" w:styleId="IntenseReference">
    <w:name w:val="Intense Reference"/>
    <w:basedOn w:val="DefaultParagraphFont"/>
    <w:uiPriority w:val="32"/>
    <w:qFormat/>
    <w:rsid w:val="00D775D5"/>
    <w:rPr>
      <w:b/>
      <w:bCs/>
      <w:smallCaps/>
      <w:color w:val="auto"/>
      <w:spacing w:val="5"/>
      <w:u w:val="single"/>
    </w:rPr>
  </w:style>
  <w:style w:type="paragraph" w:customStyle="1" w:styleId="2ColumnHeading">
    <w:name w:val="2Column Heading"/>
    <w:basedOn w:val="BodyText"/>
    <w:qFormat/>
    <w:rsid w:val="00D775D5"/>
    <w:pPr>
      <w:spacing w:after="60"/>
      <w:ind w:left="-2268"/>
    </w:pPr>
    <w:rPr>
      <w:b/>
    </w:rPr>
  </w:style>
  <w:style w:type="paragraph" w:customStyle="1" w:styleId="Heading1TOC">
    <w:name w:val="Heading1 TOC"/>
    <w:basedOn w:val="Normal"/>
    <w:qFormat/>
    <w:rsid w:val="00D775D5"/>
    <w:pPr>
      <w:spacing w:before="240" w:after="120"/>
    </w:pPr>
    <w:rPr>
      <w:rFonts w:ascii="Times New Roman" w:hAnsi="Times New Roman"/>
      <w:b/>
      <w:sz w:val="32"/>
    </w:rPr>
  </w:style>
  <w:style w:type="paragraph" w:customStyle="1" w:styleId="Heading2TOC">
    <w:name w:val="Heading2 TOC"/>
    <w:basedOn w:val="Normal"/>
    <w:qFormat/>
    <w:rsid w:val="00D775D5"/>
    <w:pPr>
      <w:spacing w:before="240" w:after="60"/>
    </w:pPr>
    <w:rPr>
      <w:rFonts w:ascii="Times New Roman" w:hAnsi="Times New Roman"/>
      <w:b/>
      <w:sz w:val="28"/>
    </w:rPr>
  </w:style>
  <w:style w:type="character" w:customStyle="1" w:styleId="Underline">
    <w:name w:val="Underline"/>
    <w:basedOn w:val="DefaultParagraphFont"/>
    <w:qFormat/>
    <w:rsid w:val="00D775D5"/>
    <w:rPr>
      <w:u w:val="single"/>
    </w:rPr>
  </w:style>
  <w:style w:type="paragraph" w:styleId="BalloonText">
    <w:name w:val="Balloon Text"/>
    <w:basedOn w:val="Normal"/>
    <w:link w:val="BalloonTextChar"/>
    <w:rsid w:val="00D775D5"/>
    <w:rPr>
      <w:rFonts w:ascii="Tahoma" w:hAnsi="Tahoma" w:cs="Tahoma"/>
      <w:sz w:val="16"/>
      <w:szCs w:val="16"/>
    </w:rPr>
  </w:style>
  <w:style w:type="character" w:customStyle="1" w:styleId="BalloonTextChar">
    <w:name w:val="Balloon Text Char"/>
    <w:basedOn w:val="DefaultParagraphFont"/>
    <w:link w:val="BalloonText"/>
    <w:rsid w:val="00D775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75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75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75D5"/>
    <w:rPr>
      <w:b/>
      <w:color w:val="660033"/>
      <w:spacing w:val="0"/>
    </w:rPr>
  </w:style>
  <w:style w:type="paragraph" w:customStyle="1" w:styleId="Nameditemlist">
    <w:name w:val="Named item list"/>
    <w:basedOn w:val="BodyText"/>
    <w:qFormat/>
    <w:rsid w:val="00D775D5"/>
    <w:pPr>
      <w:tabs>
        <w:tab w:val="left" w:pos="2835"/>
      </w:tabs>
      <w:ind w:left="2835" w:hanging="2835"/>
    </w:pPr>
  </w:style>
  <w:style w:type="paragraph" w:customStyle="1" w:styleId="BodyTextnopadding">
    <w:name w:val="Body Text no padding"/>
    <w:basedOn w:val="BodyText"/>
    <w:qFormat/>
    <w:rsid w:val="00D775D5"/>
    <w:pPr>
      <w:spacing w:before="0" w:after="0"/>
    </w:pPr>
  </w:style>
  <w:style w:type="paragraph" w:customStyle="1" w:styleId="BodyTextBold">
    <w:name w:val="Body Text Bold"/>
    <w:basedOn w:val="BodyText"/>
    <w:qFormat/>
    <w:rsid w:val="00D775D5"/>
    <w:rPr>
      <w:b/>
    </w:rPr>
  </w:style>
  <w:style w:type="character" w:styleId="Hyperlink">
    <w:name w:val="Hyperlink"/>
    <w:basedOn w:val="DefaultParagraphFont"/>
    <w:uiPriority w:val="99"/>
    <w:unhideWhenUsed/>
    <w:rsid w:val="00F245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1354</Words>
  <Characters>8886</Characters>
  <Application>Microsoft Office Word</Application>
  <DocSecurity>0</DocSecurity>
  <Lines>286</Lines>
  <Paragraphs>179</Paragraphs>
  <ScaleCrop>false</ScaleCrop>
  <Company>Author-it Software Corporation Ltd.</Company>
  <LinksUpToDate>false</LinksUpToDate>
  <CharactersWithSpaces>10061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CPPBDN4002 Research and apply compliance requirements to technical construction documentation</dc:title>
  <dc:subject>Approved</dc:subject>
  <dc:creator>BuildSkills Australia</dc:creator>
  <cp:keywords>Release: 1</cp:keywords>
  <dc:description>Review Date: 12 April 2008</dc:description>
  <cp:lastModifiedBy>HSD_TPCMSd.prod</cp:lastModifiedBy>
  <cp:revision>3</cp:revision>
  <dcterms:created xsi:type="dcterms:W3CDTF">2025-03-01T08:46:00Z</dcterms:created>
  <dcterms:modified xsi:type="dcterms:W3CDTF">2025-03-01T08:46:00Z</dcterms:modified>
</cp:coreProperties>
</file>