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6A5" w:rsidP="00A306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CPPACC8002 Research and analyse access solutions for the built environment</w:t>
      </w:r>
      <w:r>
        <w:fldChar w:fldCharType="end"/>
      </w:r>
    </w:p>
    <w:p w:rsidR="00A306A5" w:rsidP="00A306A5">
      <w:pPr>
        <w:pStyle w:val="Version"/>
        <w:sectPr w:rsidSect="00696F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6FC4" w:rsidP="00696FC4">
      <w:pPr>
        <w:pStyle w:val="SuperHeading"/>
      </w:pPr>
      <w:r w:rsidRPr="00696FC4">
        <w:t>Assessment Requirements for CPPACC8002 Research and analyse access solutions for the built environment</w:t>
      </w:r>
    </w:p>
    <w:p w:rsidR="00000000" w:rsidRPr="00696FC4" w:rsidP="00696FC4">
      <w:pPr>
        <w:pStyle w:val="Heading1"/>
      </w:pPr>
      <w:bookmarkStart w:id="1" w:name="O_905552"/>
      <w:bookmarkEnd w:id="1"/>
      <w:r w:rsidRPr="00696F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96F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FC4">
            <w:pPr>
              <w:pStyle w:val="BodyText"/>
              <w:rPr>
                <w:lang w:val="en-NZ"/>
              </w:rPr>
            </w:pPr>
            <w:r w:rsidRPr="00696FC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FC4" w:rsidP="00696FC4">
            <w:pPr>
              <w:pStyle w:val="BodyText"/>
            </w:pPr>
            <w:r w:rsidRPr="00696FC4">
              <w:t>This unit first released with CPP Property Services Training Package Release 14.0.</w:t>
            </w:r>
          </w:p>
          <w:p w:rsidR="00000000" w:rsidRPr="00696FC4" w:rsidP="00696FC4">
            <w:pPr>
              <w:pStyle w:val="BodyText"/>
            </w:pPr>
            <w:r w:rsidRPr="00696FC4">
              <w:t>Supersedes and is equivalent to CPPACC8002A Research and analyse access solutions for the built environment.</w:t>
            </w:r>
          </w:p>
          <w:p w:rsidR="00000000" w:rsidRPr="00696FC4" w:rsidP="00696FC4">
            <w:pPr>
              <w:pStyle w:val="BodyText"/>
            </w:pPr>
            <w:r w:rsidRPr="00696FC4">
              <w:t xml:space="preserve">Unit updated to meet the Standards for Training Packages 2012. </w:t>
            </w:r>
          </w:p>
        </w:tc>
      </w:tr>
    </w:tbl>
    <w:p w:rsidR="00000000" w:rsidRPr="00696FC4" w:rsidP="00696FC4">
      <w:pPr>
        <w:pStyle w:val="BodyText"/>
      </w:pPr>
    </w:p>
    <w:p w:rsidR="00000000" w:rsidRPr="00696FC4" w:rsidP="00696FC4">
      <w:pPr>
        <w:pStyle w:val="AllowPageBreak"/>
      </w:pPr>
    </w:p>
    <w:p w:rsidR="00000000" w:rsidRPr="00696FC4" w:rsidP="00696FC4">
      <w:pPr>
        <w:pStyle w:val="Heading1"/>
      </w:pPr>
      <w:bookmarkStart w:id="2" w:name="O_905555"/>
      <w:bookmarkEnd w:id="2"/>
      <w:r w:rsidRPr="00696FC4">
        <w:t>Performance Evidence</w:t>
      </w:r>
    </w:p>
    <w:p w:rsidR="00000000" w:rsidRPr="00696FC4" w:rsidP="00A306A5">
      <w:pPr>
        <w:pStyle w:val="BodyText"/>
      </w:pPr>
      <w:r w:rsidRPr="00696FC4">
        <w:t>To demonstrate competency, a candidate must</w:t>
      </w:r>
      <w:r w:rsidRPr="00696FC4">
        <w:t xml:space="preserve"> meet the elements and performance criteria of this unit by researching and analysing access solutions for the built environment for two different projects.</w:t>
      </w:r>
    </w:p>
    <w:p w:rsidR="00000000" w:rsidRPr="00696FC4" w:rsidP="00696FC4">
      <w:pPr>
        <w:pStyle w:val="Heading1"/>
      </w:pPr>
      <w:bookmarkStart w:id="3" w:name="O_905554"/>
      <w:bookmarkEnd w:id="3"/>
      <w:r w:rsidRPr="00696FC4">
        <w:t>Knowledge Evidence</w:t>
      </w:r>
    </w:p>
    <w:p w:rsidR="00000000" w:rsidRPr="00696FC4" w:rsidP="00A306A5">
      <w:pPr>
        <w:pStyle w:val="BodyText"/>
      </w:pPr>
      <w:r w:rsidRPr="00696FC4">
        <w:t>To be competent in this unit, a candidate must demonstrate know</w:t>
      </w:r>
      <w:r w:rsidRPr="00696FC4">
        <w:t>ledge of:</w:t>
      </w:r>
    </w:p>
    <w:p w:rsidR="00000000" w:rsidRPr="00696FC4" w:rsidP="00696FC4">
      <w:pPr>
        <w:pStyle w:val="ListBullet"/>
      </w:pPr>
      <w:r w:rsidRPr="00696FC4">
        <w:t>accessibility requirements relating to equipment used by people with disability</w:t>
      </w:r>
    </w:p>
    <w:p w:rsidR="00000000" w:rsidRPr="00696FC4" w:rsidP="00696FC4">
      <w:pPr>
        <w:pStyle w:val="ListBullet"/>
      </w:pPr>
      <w:r w:rsidRPr="00696FC4">
        <w:t>best practices in access and use including measures that exceed compliance requirements</w:t>
      </w:r>
    </w:p>
    <w:p w:rsidR="00000000" w:rsidRPr="00696FC4" w:rsidP="00696FC4">
      <w:pPr>
        <w:pStyle w:val="ListBullet"/>
      </w:pPr>
      <w:r w:rsidRPr="00696FC4">
        <w:t>Commonwealth, state and territory legislation, regulations, codes and standards relevant to access and use compliance:</w:t>
      </w:r>
    </w:p>
    <w:p w:rsidR="00000000" w:rsidRPr="00696FC4" w:rsidP="00696FC4">
      <w:pPr>
        <w:pStyle w:val="ListBullet2"/>
      </w:pPr>
      <w:r w:rsidRPr="00696FC4">
        <w:t>anti-discrimination and disability discrimination</w:t>
      </w:r>
    </w:p>
    <w:p w:rsidR="00000000" w:rsidRPr="00696FC4" w:rsidP="00696FC4">
      <w:pPr>
        <w:pStyle w:val="ListBullet2"/>
      </w:pPr>
      <w:r w:rsidRPr="00696FC4">
        <w:t>building control including local government regulations and by-laws</w:t>
      </w:r>
    </w:p>
    <w:p w:rsidR="00000000" w:rsidRPr="00696FC4" w:rsidP="00696FC4">
      <w:pPr>
        <w:pStyle w:val="ListBullet2"/>
      </w:pPr>
      <w:r w:rsidRPr="00696FC4">
        <w:t>National Construct</w:t>
      </w:r>
      <w:r w:rsidRPr="00696FC4">
        <w:t>ion Code (NCC) building classifications and access requirements</w:t>
      </w:r>
    </w:p>
    <w:p w:rsidR="00000000" w:rsidRPr="00696FC4" w:rsidP="00696FC4">
      <w:pPr>
        <w:pStyle w:val="ListBullet2"/>
      </w:pPr>
      <w:r w:rsidRPr="00696FC4">
        <w:t>Disability (Access to Premises – Buildings) Standards 2010 and Disability Standards for Accessible Public Transport 2002 under the Disability Discrimination Act 1992 (or their successors) - kn</w:t>
      </w:r>
      <w:r w:rsidRPr="00696FC4">
        <w:t>own as the Access to Premises Standards and Transport Standards</w:t>
      </w:r>
    </w:p>
    <w:p w:rsidR="00000000" w:rsidRPr="00696FC4" w:rsidP="00696FC4">
      <w:pPr>
        <w:pStyle w:val="ListBullet2"/>
      </w:pPr>
      <w:r w:rsidRPr="00696FC4">
        <w:t>National Disability Insurance Scheme (NDIS) Specialist Disability Accommodation Design Standard (or its successor)</w:t>
      </w:r>
    </w:p>
    <w:p w:rsidR="00000000" w:rsidRPr="00696FC4" w:rsidP="00696FC4">
      <w:pPr>
        <w:pStyle w:val="ListBullet2"/>
      </w:pPr>
      <w:r w:rsidRPr="00696FC4">
        <w:t>Livable Housing Australia Livable Housing Design Guidelines (or its successor</w:t>
      </w:r>
      <w:r w:rsidRPr="00696FC4">
        <w:t>)</w:t>
      </w:r>
    </w:p>
    <w:p w:rsidR="00000000" w:rsidRPr="00696FC4" w:rsidP="00696FC4">
      <w:pPr>
        <w:pStyle w:val="ListBullet2"/>
      </w:pPr>
      <w:r w:rsidRPr="00696FC4">
        <w:t>principles of universal design</w:t>
      </w:r>
    </w:p>
    <w:p w:rsidR="00000000" w:rsidRPr="00696FC4" w:rsidP="00696FC4">
      <w:pPr>
        <w:pStyle w:val="ListBullet2"/>
      </w:pPr>
      <w:r w:rsidRPr="00696FC4">
        <w:t>privacy and confidentiality</w:t>
      </w:r>
    </w:p>
    <w:p w:rsidR="00000000" w:rsidRPr="00696FC4" w:rsidP="00696FC4">
      <w:pPr>
        <w:pStyle w:val="ListBullet"/>
      </w:pPr>
      <w:r w:rsidRPr="00696FC4">
        <w:t>principles of access to and use of the built environment:</w:t>
      </w:r>
    </w:p>
    <w:p w:rsidR="00000000" w:rsidRPr="00696FC4" w:rsidP="00696FC4">
      <w:pPr>
        <w:pStyle w:val="ListBullet2"/>
      </w:pPr>
      <w:r w:rsidRPr="00696FC4">
        <w:t>adaptable design</w:t>
      </w:r>
    </w:p>
    <w:p w:rsidR="00000000" w:rsidRPr="00696FC4" w:rsidP="00696FC4">
      <w:pPr>
        <w:pStyle w:val="ListBullet2"/>
      </w:pPr>
      <w:r w:rsidRPr="00696FC4">
        <w:t>best practice solutions to access and use requirements</w:t>
      </w:r>
    </w:p>
    <w:p w:rsidR="00000000" w:rsidRPr="00696FC4" w:rsidP="00696FC4">
      <w:pPr>
        <w:pStyle w:val="ListBullet"/>
      </w:pPr>
      <w:r w:rsidRPr="00696FC4">
        <w:t>principles of ergonomics and advancements in ergonomic practic</w:t>
      </w:r>
      <w:r w:rsidRPr="00696FC4">
        <w:t>es</w:t>
      </w:r>
    </w:p>
    <w:p w:rsidR="00000000" w:rsidRPr="00696FC4" w:rsidP="00696FC4">
      <w:pPr>
        <w:pStyle w:val="ListBullet"/>
      </w:pPr>
      <w:r w:rsidRPr="00696FC4">
        <w:t>research techniques</w:t>
      </w:r>
    </w:p>
    <w:p w:rsidR="00000000" w:rsidRPr="00696FC4" w:rsidP="00696FC4">
      <w:pPr>
        <w:pStyle w:val="ListBullet"/>
      </w:pPr>
      <w:r w:rsidRPr="00696FC4">
        <w:t>scope of functions of the human body:</w:t>
      </w:r>
    </w:p>
    <w:p w:rsidR="00000000" w:rsidRPr="00696FC4" w:rsidP="00696FC4">
      <w:pPr>
        <w:pStyle w:val="ListBullet2"/>
      </w:pPr>
      <w:r w:rsidRPr="00696FC4">
        <w:t>auditory and visual processing</w:t>
      </w:r>
    </w:p>
    <w:p w:rsidR="00000000" w:rsidRPr="00696FC4" w:rsidP="00696FC4">
      <w:pPr>
        <w:pStyle w:val="ListBullet2"/>
      </w:pPr>
      <w:r w:rsidRPr="00696FC4">
        <w:t>cognitive functions</w:t>
      </w:r>
    </w:p>
    <w:p w:rsidR="00000000" w:rsidRPr="00696FC4" w:rsidP="00696FC4">
      <w:pPr>
        <w:pStyle w:val="ListBullet2"/>
      </w:pPr>
      <w:r w:rsidRPr="00696FC4">
        <w:t>mobility</w:t>
      </w:r>
    </w:p>
    <w:p w:rsidR="00000000" w:rsidRPr="00696FC4" w:rsidP="00696FC4">
      <w:pPr>
        <w:pStyle w:val="ListBullet2"/>
      </w:pPr>
      <w:r w:rsidRPr="00696FC4">
        <w:t>psychiatric conditions</w:t>
      </w:r>
    </w:p>
    <w:p w:rsidR="00000000" w:rsidRPr="00696FC4" w:rsidP="00696FC4">
      <w:pPr>
        <w:pStyle w:val="ListBullet"/>
      </w:pPr>
      <w:r w:rsidRPr="00696FC4">
        <w:t>social construction of disability:</w:t>
      </w:r>
    </w:p>
    <w:p w:rsidR="00000000" w:rsidRPr="00696FC4" w:rsidP="00696FC4">
      <w:pPr>
        <w:pStyle w:val="ListBullet2"/>
      </w:pPr>
      <w:r w:rsidRPr="00696FC4">
        <w:t>effects of restriction of autonomy</w:t>
      </w:r>
    </w:p>
    <w:p w:rsidR="00000000" w:rsidRPr="00696FC4" w:rsidP="00696FC4">
      <w:pPr>
        <w:pStyle w:val="ListBullet2"/>
      </w:pPr>
      <w:r w:rsidRPr="00696FC4">
        <w:t>institutional models</w:t>
      </w:r>
    </w:p>
    <w:p w:rsidR="00000000" w:rsidRPr="00696FC4" w:rsidP="00696FC4">
      <w:pPr>
        <w:pStyle w:val="ListBullet2"/>
      </w:pPr>
      <w:r w:rsidRPr="00696FC4">
        <w:t>medical models</w:t>
      </w:r>
    </w:p>
    <w:p w:rsidR="00000000" w:rsidRPr="00696FC4" w:rsidP="00696FC4">
      <w:pPr>
        <w:pStyle w:val="ListBullet2"/>
      </w:pPr>
      <w:r w:rsidRPr="00696FC4">
        <w:t>social, civic and economic inclusion</w:t>
      </w:r>
    </w:p>
    <w:p w:rsidR="00000000" w:rsidRPr="00696FC4" w:rsidP="00696FC4">
      <w:pPr>
        <w:pStyle w:val="ListBullet"/>
      </w:pPr>
      <w:r w:rsidRPr="00696FC4">
        <w:t xml:space="preserve">sources of current information on access and use requirements and solutions </w:t>
      </w:r>
    </w:p>
    <w:p w:rsidR="00000000" w:rsidRPr="00696FC4" w:rsidP="00696FC4">
      <w:pPr>
        <w:pStyle w:val="ListBullet"/>
      </w:pPr>
      <w:r w:rsidRPr="00696FC4">
        <w:t>types of best practice international and national solutions that provide access to and use of the built environment:</w:t>
      </w:r>
    </w:p>
    <w:p w:rsidR="00000000" w:rsidRPr="00696FC4" w:rsidP="00696FC4">
      <w:pPr>
        <w:pStyle w:val="ListBullet2"/>
      </w:pPr>
      <w:r w:rsidRPr="00696FC4">
        <w:t>communication devices</w:t>
      </w:r>
    </w:p>
    <w:p w:rsidR="00000000" w:rsidRPr="00696FC4" w:rsidP="00696FC4">
      <w:pPr>
        <w:pStyle w:val="ListBullet2"/>
      </w:pPr>
      <w:r w:rsidRPr="00696FC4">
        <w:t>f</w:t>
      </w:r>
      <w:r w:rsidRPr="00696FC4">
        <w:t>ittings and fixtures</w:t>
      </w:r>
    </w:p>
    <w:p w:rsidR="00000000" w:rsidRPr="00696FC4" w:rsidP="00696FC4">
      <w:pPr>
        <w:pStyle w:val="ListBullet2"/>
      </w:pPr>
      <w:r w:rsidRPr="00696FC4">
        <w:t>interior design solutions</w:t>
      </w:r>
    </w:p>
    <w:p w:rsidR="00000000" w:rsidRPr="00696FC4" w:rsidP="00696FC4">
      <w:pPr>
        <w:pStyle w:val="ListBullet2"/>
      </w:pPr>
      <w:r w:rsidRPr="00696FC4">
        <w:t>premises design to facilitate access</w:t>
      </w:r>
    </w:p>
    <w:p w:rsidR="00000000" w:rsidRPr="00696FC4" w:rsidP="00696FC4">
      <w:pPr>
        <w:pStyle w:val="ListBullet2"/>
      </w:pPr>
      <w:r w:rsidRPr="00696FC4">
        <w:t>technological solutions</w:t>
      </w:r>
    </w:p>
    <w:p w:rsidR="00000000" w:rsidRPr="00696FC4" w:rsidP="00696FC4">
      <w:pPr>
        <w:pStyle w:val="ListBullet2"/>
      </w:pPr>
      <w:r w:rsidRPr="00696FC4">
        <w:t>telecommunications solutions</w:t>
      </w:r>
    </w:p>
    <w:p w:rsidR="00000000" w:rsidRPr="00696FC4" w:rsidP="00696FC4">
      <w:pPr>
        <w:pStyle w:val="ListBullet2"/>
      </w:pPr>
      <w:r w:rsidRPr="00696FC4">
        <w:t>urban design solutions</w:t>
      </w:r>
    </w:p>
    <w:p w:rsidR="00000000" w:rsidRPr="00696FC4" w:rsidP="00696FC4">
      <w:pPr>
        <w:pStyle w:val="ListBullet"/>
      </w:pPr>
      <w:r w:rsidRPr="00696FC4">
        <w:t>types of disabilities and combinations of disabilities and related range of functional limitations:</w:t>
      </w:r>
    </w:p>
    <w:p w:rsidR="00000000" w:rsidRPr="00696FC4" w:rsidP="00696FC4">
      <w:pPr>
        <w:pStyle w:val="ListBullet2"/>
      </w:pPr>
      <w:r w:rsidRPr="00696FC4">
        <w:t>auditory</w:t>
      </w:r>
    </w:p>
    <w:p w:rsidR="00000000" w:rsidRPr="00696FC4" w:rsidP="00696FC4">
      <w:pPr>
        <w:pStyle w:val="ListBullet2"/>
      </w:pPr>
      <w:r w:rsidRPr="00696FC4">
        <w:t>cognitive</w:t>
      </w:r>
    </w:p>
    <w:p w:rsidR="00000000" w:rsidRPr="00696FC4" w:rsidP="00696FC4">
      <w:pPr>
        <w:pStyle w:val="ListBullet2"/>
      </w:pPr>
      <w:r w:rsidRPr="00696FC4">
        <w:t>mobility</w:t>
      </w:r>
    </w:p>
    <w:p w:rsidR="00000000" w:rsidRPr="00696FC4" w:rsidP="00696FC4">
      <w:pPr>
        <w:pStyle w:val="ListBullet2"/>
      </w:pPr>
      <w:r w:rsidRPr="00696FC4">
        <w:t>muscle wasting and weakness</w:t>
      </w:r>
    </w:p>
    <w:p w:rsidR="00000000" w:rsidRPr="00696FC4" w:rsidP="00696FC4">
      <w:pPr>
        <w:pStyle w:val="ListBullet2"/>
      </w:pPr>
      <w:r w:rsidRPr="00696FC4">
        <w:t>psychiatric</w:t>
      </w:r>
    </w:p>
    <w:p w:rsidR="00000000" w:rsidRPr="00696FC4" w:rsidP="00696FC4">
      <w:pPr>
        <w:pStyle w:val="ListBullet2"/>
      </w:pPr>
      <w:r w:rsidRPr="00696FC4">
        <w:t>vision.</w:t>
      </w:r>
    </w:p>
    <w:p w:rsidR="00000000" w:rsidRPr="00696FC4" w:rsidP="00696FC4">
      <w:pPr>
        <w:pStyle w:val="AllowPageBreak"/>
      </w:pPr>
    </w:p>
    <w:p w:rsidR="00000000" w:rsidRPr="00696FC4" w:rsidP="00696FC4">
      <w:pPr>
        <w:pStyle w:val="Heading1"/>
      </w:pPr>
      <w:bookmarkStart w:id="4" w:name="O_905553"/>
      <w:bookmarkEnd w:id="4"/>
      <w:r w:rsidRPr="00696FC4">
        <w:t>Assessment Conditions</w:t>
      </w:r>
    </w:p>
    <w:p w:rsidR="00000000" w:rsidRPr="00696FC4" w:rsidP="00A306A5">
      <w:pPr>
        <w:pStyle w:val="BodyText"/>
      </w:pPr>
      <w:r w:rsidRPr="00696FC4">
        <w:t>Assessors must meet the requirements for</w:t>
      </w:r>
      <w:r w:rsidRPr="00696FC4">
        <w:t xml:space="preserve"> assessors contained in the Standards for Registered Training Organisations. </w:t>
      </w:r>
    </w:p>
    <w:p w:rsidR="00000000" w:rsidRPr="00696FC4" w:rsidP="00A306A5">
      <w:pPr>
        <w:pStyle w:val="BodyText"/>
      </w:pPr>
      <w:r w:rsidRPr="00696FC4">
        <w:t>Assessment must be conducted in the workplace or a simulated workplace using realistic conditions, materials, activities, responsibilities, procedures, safety requirements and en</w:t>
      </w:r>
      <w:r w:rsidRPr="00696FC4">
        <w:t>vironmental considerations.</w:t>
      </w:r>
    </w:p>
    <w:p w:rsidR="00000000" w:rsidRPr="00696FC4" w:rsidP="00A306A5">
      <w:pPr>
        <w:pStyle w:val="BodyText"/>
      </w:pPr>
      <w:r w:rsidRPr="00696FC4">
        <w:t>Candidates must have access to documentation, information and technologies required to achieve the performance criteria and performance evidence.</w:t>
      </w:r>
    </w:p>
    <w:p w:rsidR="00000000" w:rsidRPr="00696FC4" w:rsidP="00696FC4">
      <w:pPr>
        <w:pStyle w:val="Heading1"/>
      </w:pPr>
      <w:bookmarkStart w:id="5" w:name="O_905551"/>
      <w:bookmarkEnd w:id="5"/>
      <w:r w:rsidRPr="00696FC4">
        <w:t>Links</w:t>
      </w:r>
    </w:p>
    <w:p w:rsidR="00000000" w:rsidRPr="00696FC4" w:rsidP="00A306A5">
      <w:pPr>
        <w:pStyle w:val="BodyText"/>
      </w:pPr>
      <w:r w:rsidRPr="00696F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B416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96FC4" w:rsidP="00696FC4"/>
    <w:sectPr w:rsidSect="00696F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F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FC4" w:rsidRPr="00A306A5" w:rsidP="00A306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F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6A5" w:rsidP="00696F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06A5" w:rsidP="00696F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306A5" w:rsidP="00696F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F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6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6FC4" w:rsidRPr="00A306A5" w:rsidP="00A306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F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6A5" w:rsidRPr="002D2AF8" w:rsidP="00696F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CPPACC8002 Research and analyse access solutions for the built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306A5" w:rsidP="00696F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222F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84D0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600F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F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6F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6F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6F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6F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6F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6F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6F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6F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6F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6F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6FC4"/>
  </w:style>
  <w:style w:type="character" w:customStyle="1" w:styleId="Heading1Char">
    <w:name w:val="Heading 1 Char"/>
    <w:basedOn w:val="DefaultParagraphFont"/>
    <w:link w:val="Heading1"/>
    <w:rsid w:val="00696F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6F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6F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6F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6F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6F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6F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6F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6F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6F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6F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6F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6F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6F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6F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6F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6F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6F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6F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6F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6F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6F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6F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6F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6F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6F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6F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6FC4"/>
    <w:rPr>
      <w:b/>
      <w:spacing w:val="0"/>
    </w:rPr>
  </w:style>
  <w:style w:type="paragraph" w:customStyle="1" w:styleId="SuperTitle">
    <w:name w:val="SuperTitle"/>
    <w:basedOn w:val="Title"/>
    <w:rsid w:val="00696F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6F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6F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6F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6F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6F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6F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6F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6F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6F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6F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6F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6FC4"/>
    <w:rPr>
      <w:i/>
    </w:rPr>
  </w:style>
  <w:style w:type="paragraph" w:styleId="Caption">
    <w:name w:val="caption"/>
    <w:basedOn w:val="BodyText"/>
    <w:next w:val="Normal"/>
    <w:qFormat/>
    <w:rsid w:val="00696F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6F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6F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6FC4"/>
  </w:style>
  <w:style w:type="paragraph" w:styleId="TableofFigures">
    <w:name w:val="table of figures"/>
    <w:basedOn w:val="Normal"/>
    <w:next w:val="Normal"/>
    <w:semiHidden/>
    <w:rsid w:val="00696F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6F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6FC4"/>
    <w:rPr>
      <w:rFonts w:ascii="Wingdings" w:hAnsi="Wingdings"/>
    </w:rPr>
  </w:style>
  <w:style w:type="paragraph" w:customStyle="1" w:styleId="TableHeading">
    <w:name w:val="Table Heading"/>
    <w:basedOn w:val="HeadingBase"/>
    <w:rsid w:val="00696F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6FC4"/>
    <w:rPr>
      <w:color w:val="0033CC"/>
      <w:u w:val="none"/>
    </w:rPr>
  </w:style>
  <w:style w:type="paragraph" w:customStyle="1" w:styleId="BodyTextRight">
    <w:name w:val="Body Text Right"/>
    <w:basedOn w:val="BodyText"/>
    <w:rsid w:val="00696F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6F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6F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6F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6F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6F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6FC4"/>
    <w:rPr>
      <w:sz w:val="32"/>
    </w:rPr>
  </w:style>
  <w:style w:type="paragraph" w:customStyle="1" w:styleId="HeadingProcedure">
    <w:name w:val="Heading Procedure"/>
    <w:basedOn w:val="HeadingBase"/>
    <w:next w:val="Normal"/>
    <w:rsid w:val="00696F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6FC4"/>
    <w:pPr>
      <w:spacing w:before="60" w:after="60"/>
    </w:pPr>
  </w:style>
  <w:style w:type="paragraph" w:styleId="ListContinue">
    <w:name w:val="List Continue"/>
    <w:basedOn w:val="List"/>
    <w:rsid w:val="00696FC4"/>
    <w:pPr>
      <w:ind w:firstLine="0"/>
    </w:pPr>
  </w:style>
  <w:style w:type="paragraph" w:customStyle="1" w:styleId="ListNote">
    <w:name w:val="List Note"/>
    <w:basedOn w:val="List"/>
    <w:rsid w:val="00696F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6F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6F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6FC4"/>
    <w:rPr>
      <w:rFonts w:ascii="Courier New" w:hAnsi="Courier New"/>
    </w:rPr>
  </w:style>
  <w:style w:type="paragraph" w:customStyle="1" w:styleId="NoteBullet">
    <w:name w:val="Note Bullet"/>
    <w:basedOn w:val="Note"/>
    <w:rsid w:val="00696F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6F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6F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6F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6F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6F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6F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6FC4"/>
    <w:rPr>
      <w:b/>
      <w:smallCaps/>
    </w:rPr>
  </w:style>
  <w:style w:type="paragraph" w:customStyle="1" w:styleId="TableListNumber">
    <w:name w:val="Table List Number"/>
    <w:basedOn w:val="ListNumber"/>
    <w:rsid w:val="00696F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6F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6FC4"/>
    <w:pPr>
      <w:numPr>
        <w:numId w:val="9"/>
      </w:numPr>
    </w:pPr>
  </w:style>
  <w:style w:type="paragraph" w:customStyle="1" w:styleId="ListAlpha2">
    <w:name w:val="List Alpha 2"/>
    <w:basedOn w:val="List2"/>
    <w:rsid w:val="00696FC4"/>
    <w:pPr>
      <w:numPr>
        <w:numId w:val="8"/>
      </w:numPr>
    </w:pPr>
  </w:style>
  <w:style w:type="paragraph" w:styleId="List2">
    <w:name w:val="List 2"/>
    <w:basedOn w:val="BodyText"/>
    <w:rsid w:val="00696F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6F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6F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6F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6F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6F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6FC4"/>
    <w:pPr>
      <w:numPr>
        <w:numId w:val="4"/>
      </w:numPr>
    </w:pPr>
  </w:style>
  <w:style w:type="paragraph" w:styleId="ListContinue2">
    <w:name w:val="List Continue 2"/>
    <w:basedOn w:val="List2"/>
    <w:rsid w:val="00696FC4"/>
    <w:pPr>
      <w:ind w:firstLine="0"/>
    </w:pPr>
  </w:style>
  <w:style w:type="paragraph" w:styleId="ListContinue3">
    <w:name w:val="List Continue 3"/>
    <w:basedOn w:val="List3"/>
    <w:rsid w:val="00696FC4"/>
    <w:pPr>
      <w:ind w:left="1021" w:firstLine="0"/>
    </w:pPr>
  </w:style>
  <w:style w:type="paragraph" w:styleId="ListContinue4">
    <w:name w:val="List Continue 4"/>
    <w:basedOn w:val="List4"/>
    <w:rsid w:val="00696FC4"/>
    <w:pPr>
      <w:ind w:firstLine="0"/>
    </w:pPr>
  </w:style>
  <w:style w:type="paragraph" w:styleId="ListContinue5">
    <w:name w:val="List Continue 5"/>
    <w:basedOn w:val="List5"/>
    <w:rsid w:val="00696FC4"/>
    <w:pPr>
      <w:ind w:firstLine="0"/>
    </w:pPr>
  </w:style>
  <w:style w:type="paragraph" w:styleId="ListNumber3">
    <w:name w:val="List Number 3"/>
    <w:basedOn w:val="List3"/>
    <w:rsid w:val="00696FC4"/>
    <w:pPr>
      <w:numPr>
        <w:numId w:val="5"/>
      </w:numPr>
    </w:pPr>
  </w:style>
  <w:style w:type="paragraph" w:styleId="ListNumber4">
    <w:name w:val="List Number 4"/>
    <w:basedOn w:val="List4"/>
    <w:rsid w:val="00696FC4"/>
    <w:pPr>
      <w:numPr>
        <w:numId w:val="6"/>
      </w:numPr>
    </w:pPr>
  </w:style>
  <w:style w:type="paragraph" w:styleId="ListNumber5">
    <w:name w:val="List Number 5"/>
    <w:basedOn w:val="List5"/>
    <w:rsid w:val="00696FC4"/>
    <w:pPr>
      <w:numPr>
        <w:numId w:val="7"/>
      </w:numPr>
    </w:pPr>
  </w:style>
  <w:style w:type="paragraph" w:styleId="BlockText">
    <w:name w:val="Block Text"/>
    <w:basedOn w:val="Normal"/>
    <w:rsid w:val="00696F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6F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6FC4"/>
    <w:rPr>
      <w:sz w:val="16"/>
      <w:vertAlign w:val="superscript"/>
    </w:rPr>
  </w:style>
  <w:style w:type="character" w:customStyle="1" w:styleId="Symbols">
    <w:name w:val="Symbols"/>
    <w:basedOn w:val="DefaultParagraphFont"/>
    <w:rsid w:val="00696FC4"/>
    <w:rPr>
      <w:rFonts w:ascii="Symbol" w:hAnsi="Symbol"/>
    </w:rPr>
  </w:style>
  <w:style w:type="character" w:customStyle="1" w:styleId="MenuOptions">
    <w:name w:val="Menu Options"/>
    <w:basedOn w:val="DefaultParagraphFont"/>
    <w:rsid w:val="00696F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6FC4"/>
    <w:rPr>
      <w:b/>
    </w:rPr>
  </w:style>
  <w:style w:type="character" w:customStyle="1" w:styleId="Underlined">
    <w:name w:val="Underlined"/>
    <w:basedOn w:val="DefaultParagraphFont"/>
    <w:rsid w:val="00696FC4"/>
    <w:rPr>
      <w:u w:val="single"/>
    </w:rPr>
  </w:style>
  <w:style w:type="paragraph" w:customStyle="1" w:styleId="TableBodyTextRight">
    <w:name w:val="Table Body Text Right"/>
    <w:basedOn w:val="TableBodyText"/>
    <w:rsid w:val="00696F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6FC4"/>
    <w:rPr>
      <w:sz w:val="18"/>
    </w:rPr>
  </w:style>
  <w:style w:type="paragraph" w:customStyle="1" w:styleId="BodySmallRight">
    <w:name w:val="Body Small Right"/>
    <w:basedOn w:val="BodyTextRight"/>
    <w:rsid w:val="00696FC4"/>
    <w:rPr>
      <w:sz w:val="18"/>
      <w:szCs w:val="18"/>
    </w:rPr>
  </w:style>
  <w:style w:type="paragraph" w:customStyle="1" w:styleId="MarginEdition">
    <w:name w:val="Margin Edition"/>
    <w:basedOn w:val="MarginNote"/>
    <w:rsid w:val="00696F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6FC4"/>
    <w:rPr>
      <w:sz w:val="2"/>
      <w:szCs w:val="2"/>
    </w:rPr>
  </w:style>
  <w:style w:type="character" w:customStyle="1" w:styleId="Small">
    <w:name w:val="Small"/>
    <w:basedOn w:val="DefaultParagraphFont"/>
    <w:rsid w:val="00696FC4"/>
    <w:rPr>
      <w:sz w:val="16"/>
    </w:rPr>
  </w:style>
  <w:style w:type="paragraph" w:customStyle="1" w:styleId="WideTable">
    <w:name w:val="Wide Table"/>
    <w:basedOn w:val="Normal"/>
    <w:rsid w:val="00696F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6FC4"/>
  </w:style>
  <w:style w:type="paragraph" w:styleId="Quote">
    <w:name w:val="Quote"/>
    <w:basedOn w:val="Heading1"/>
    <w:link w:val="QuoteChar"/>
    <w:qFormat/>
    <w:rsid w:val="00696F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6F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6FC4"/>
    <w:pPr>
      <w:pageBreakBefore/>
    </w:pPr>
  </w:style>
  <w:style w:type="paragraph" w:customStyle="1" w:styleId="Border">
    <w:name w:val="Border"/>
    <w:basedOn w:val="Normal"/>
    <w:qFormat/>
    <w:rsid w:val="00696F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6F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F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F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6F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6F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6F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6F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6F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6FC4"/>
    <w:rPr>
      <w:u w:val="single"/>
    </w:rPr>
  </w:style>
  <w:style w:type="character" w:customStyle="1" w:styleId="BoldandItalics">
    <w:name w:val="Bold and Italics"/>
    <w:qFormat/>
    <w:rsid w:val="00696FC4"/>
    <w:rPr>
      <w:b/>
      <w:i/>
      <w:u w:val="none"/>
    </w:rPr>
  </w:style>
  <w:style w:type="paragraph" w:styleId="BalloonText">
    <w:name w:val="Balloon Text"/>
    <w:basedOn w:val="Normal"/>
    <w:link w:val="BalloonTextChar"/>
    <w:rsid w:val="00696F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F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6F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6F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6F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6F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6FC4"/>
    <w:pPr>
      <w:spacing w:before="0" w:after="0"/>
    </w:pPr>
  </w:style>
  <w:style w:type="paragraph" w:customStyle="1" w:styleId="BodyTextBold">
    <w:name w:val="Body Text Bold"/>
    <w:basedOn w:val="BodyText"/>
    <w:qFormat/>
    <w:rsid w:val="00696FC4"/>
    <w:rPr>
      <w:b/>
    </w:rPr>
  </w:style>
  <w:style w:type="character" w:styleId="Hyperlink">
    <w:name w:val="Hyperlink"/>
    <w:basedOn w:val="DefaultParagraphFont"/>
    <w:uiPriority w:val="99"/>
    <w:unhideWhenUsed/>
    <w:rsid w:val="00A306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3206</Characters>
  <Application>Microsoft Office Word</Application>
  <DocSecurity>0</DocSecurity>
  <Lines>89</Lines>
  <Paragraphs>70</Paragraphs>
  <ScaleCrop>false</ScaleCrop>
  <Company>Author-it Software Corporation Ltd.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CPPACC8002 Research and analyse access solutions for the built environment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2022-12-19T06:08:00Z</dcterms:created>
  <dcterms:modified xsi:type="dcterms:W3CDTF">2022-12-19T06:08:00Z</dcterms:modified>
</cp:coreProperties>
</file>