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32A3" w:rsidP="007632A3">
      <w:pPr>
        <w:pStyle w:val="Title"/>
      </w:pPr>
      <w:r>
        <w:fldChar w:fldCharType="begin"/>
      </w:r>
      <w:r>
        <w:instrText xml:space="preserve"> TITLE   \* MERGEFORMAT </w:instrText>
      </w:r>
      <w:r>
        <w:fldChar w:fldCharType="separate"/>
      </w:r>
      <w:r>
        <w:t>CPPACC8001 Research and analyse access and use requirements for people with diverse disabilities</w:t>
      </w:r>
      <w:r>
        <w:fldChar w:fldCharType="end"/>
      </w:r>
    </w:p>
    <w:p w:rsidR="007632A3" w:rsidP="007632A3">
      <w:pPr>
        <w:pStyle w:val="Version"/>
        <w:sectPr w:rsidSect="00105C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5CB9" w:rsidP="00105CB9">
      <w:pPr>
        <w:pStyle w:val="SuperHeading"/>
      </w:pPr>
      <w:r w:rsidRPr="00105CB9">
        <w:t>CPPACC8001 Research and analyse access and use requirements for people with diverse disabilities</w:t>
      </w:r>
    </w:p>
    <w:p w:rsidR="00000000" w:rsidRPr="00105CB9" w:rsidP="00105CB9">
      <w:pPr>
        <w:pStyle w:val="Heading1"/>
      </w:pPr>
      <w:bookmarkStart w:id="1" w:name="O_905517"/>
      <w:bookmarkEnd w:id="1"/>
      <w:r w:rsidRPr="00105CB9">
        <w:t>Modification History</w:t>
      </w:r>
    </w:p>
    <w:tbl>
      <w:tblPr>
        <w:tblW w:w="0" w:type="auto"/>
        <w:tblLayout w:type="fixed"/>
        <w:tblCellMar>
          <w:left w:w="62" w:type="dxa"/>
          <w:right w:w="62" w:type="dxa"/>
        </w:tblCellMar>
        <w:tblLook w:val="0000"/>
      </w:tblPr>
      <w:tblGrid>
        <w:gridCol w:w="1128"/>
        <w:gridCol w:w="7944"/>
      </w:tblGrid>
      <w:tr w:rsidTr="00105CB9">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05CB9">
            <w:pPr>
              <w:pStyle w:val="BodyText"/>
              <w:rPr>
                <w:lang w:val="en-NZ"/>
              </w:rPr>
            </w:pPr>
            <w:r w:rsidRPr="00105CB9">
              <w:t>Release 1</w:t>
            </w:r>
          </w:p>
        </w:tc>
        <w:tc>
          <w:tcPr>
            <w:tcW w:w="7944" w:type="dxa"/>
            <w:tcBorders>
              <w:top w:val="nil"/>
              <w:left w:val="nil"/>
              <w:bottom w:val="nil"/>
              <w:right w:val="nil"/>
            </w:tcBorders>
            <w:tcMar>
              <w:top w:w="0" w:type="dxa"/>
              <w:left w:w="62" w:type="dxa"/>
              <w:bottom w:w="0" w:type="dxa"/>
              <w:right w:w="62" w:type="dxa"/>
            </w:tcMar>
          </w:tcPr>
          <w:p w:rsidR="00000000" w:rsidRPr="00105CB9" w:rsidP="00105CB9">
            <w:pPr>
              <w:pStyle w:val="BodyText"/>
            </w:pPr>
            <w:r w:rsidRPr="00105CB9">
              <w:t>This unit first released with CPP Property Services Training Package Release 14.0.</w:t>
            </w:r>
          </w:p>
          <w:p w:rsidR="00000000" w:rsidRPr="00105CB9" w:rsidP="00105CB9">
            <w:pPr>
              <w:pStyle w:val="BodyText"/>
            </w:pPr>
            <w:r w:rsidRPr="00105CB9">
              <w:t>Supersedes and is equivalent to CPPACC8001A Research and analyse access and use requirements for people with diverse disabilities.</w:t>
            </w:r>
          </w:p>
          <w:p w:rsidR="00000000" w:rsidRPr="00105CB9" w:rsidP="00105CB9">
            <w:pPr>
              <w:pStyle w:val="BodyText"/>
            </w:pPr>
            <w:r w:rsidRPr="00105CB9">
              <w:t xml:space="preserve">Unit updated to meet the Standards for Training Packages 2012. </w:t>
            </w:r>
          </w:p>
        </w:tc>
      </w:tr>
    </w:tbl>
    <w:p w:rsidR="00000000" w:rsidRPr="00105CB9" w:rsidP="00105CB9">
      <w:pPr>
        <w:pStyle w:val="BodyText"/>
      </w:pPr>
    </w:p>
    <w:p w:rsidR="00000000" w:rsidRPr="00105CB9" w:rsidP="00105CB9">
      <w:pPr>
        <w:pStyle w:val="AllowPageBreak"/>
      </w:pPr>
    </w:p>
    <w:p w:rsidR="00000000" w:rsidRPr="00105CB9" w:rsidP="00105CB9">
      <w:pPr>
        <w:pStyle w:val="Heading1"/>
      </w:pPr>
      <w:bookmarkStart w:id="2" w:name="O_905525"/>
      <w:bookmarkEnd w:id="2"/>
      <w:r w:rsidRPr="00105CB9">
        <w:t>Application</w:t>
      </w:r>
    </w:p>
    <w:p w:rsidR="00000000" w:rsidRPr="00105CB9" w:rsidP="007632A3">
      <w:pPr>
        <w:pStyle w:val="BodyText"/>
      </w:pPr>
      <w:r w:rsidRPr="00105CB9">
        <w:t>This unit of competency specif</w:t>
      </w:r>
      <w:r w:rsidRPr="00105CB9">
        <w:t>ies the skills and knowledge required to research and analyse complex and highly specialised information relating to access and use requirements for people with diverse disabilities in order to build a significant knowledge base for application to access c</w:t>
      </w:r>
      <w:r w:rsidRPr="00105CB9">
        <w:t xml:space="preserve">onsulting services. It includes developing an in-depth understanding of the range and nature of variations in people’s abilities and disabilities, implications for the provision of access to and use of the built environment, and the extent and limitations </w:t>
      </w:r>
      <w:r w:rsidRPr="00105CB9">
        <w:t>of regulatory compliance requirements.</w:t>
      </w:r>
    </w:p>
    <w:p w:rsidR="00000000" w:rsidRPr="00105CB9" w:rsidP="007632A3">
      <w:pPr>
        <w:pStyle w:val="BodyText"/>
      </w:pPr>
      <w:r w:rsidRPr="00105CB9">
        <w:t>This unit is for experienced access consultants who apply broad and coherent theoretical and technical knowledge and highly specialised skills, and deal with sometimes complex and unpredictable contingencies in the pr</w:t>
      </w:r>
      <w:r w:rsidRPr="00105CB9">
        <w:t>ovision of access consulting services.</w:t>
      </w:r>
    </w:p>
    <w:p w:rsidR="00000000" w:rsidRPr="00105CB9" w:rsidP="007632A3">
      <w:pPr>
        <w:pStyle w:val="BodyText"/>
      </w:pPr>
      <w:r w:rsidRPr="00105CB9">
        <w:t>No licensing, legislative or certification requirements apply to this unit at the time of publication.</w:t>
      </w:r>
    </w:p>
    <w:p w:rsidR="00000000" w:rsidRPr="00105CB9" w:rsidP="00105CB9">
      <w:pPr>
        <w:pStyle w:val="Heading1"/>
      </w:pPr>
      <w:bookmarkStart w:id="3" w:name="O_905524"/>
      <w:bookmarkEnd w:id="3"/>
      <w:r w:rsidRPr="00105CB9">
        <w:t>Pre-requisite Unit</w:t>
      </w:r>
    </w:p>
    <w:p w:rsidR="00000000" w:rsidRPr="00105CB9" w:rsidP="007632A3">
      <w:pPr>
        <w:pStyle w:val="BodyText"/>
      </w:pPr>
      <w:r w:rsidRPr="00105CB9">
        <w:t>Nil</w:t>
      </w:r>
    </w:p>
    <w:p w:rsidR="00000000" w:rsidRPr="00105CB9" w:rsidP="00105CB9">
      <w:pPr>
        <w:pStyle w:val="Heading1"/>
      </w:pPr>
      <w:bookmarkStart w:id="4" w:name="O_905522"/>
      <w:bookmarkEnd w:id="4"/>
      <w:r w:rsidRPr="00105CB9">
        <w:t>Unit Sector</w:t>
      </w:r>
    </w:p>
    <w:p w:rsidR="00000000" w:rsidRPr="00105CB9" w:rsidP="007632A3">
      <w:pPr>
        <w:pStyle w:val="BodyText"/>
      </w:pPr>
      <w:r w:rsidRPr="00105CB9">
        <w:t>Access Consulting.</w:t>
      </w:r>
    </w:p>
    <w:p w:rsidR="00000000" w:rsidRPr="00105CB9" w:rsidP="00105CB9">
      <w:pPr>
        <w:pStyle w:val="Heading1"/>
      </w:pPr>
      <w:bookmarkStart w:id="5" w:name="O_905521"/>
      <w:bookmarkEnd w:id="5"/>
      <w:r w:rsidRPr="00105CB9">
        <w:t xml:space="preserve">Elements </w:t>
      </w:r>
      <w:r w:rsidRPr="00105CB9">
        <w:t>and Performance Criteria</w:t>
      </w:r>
    </w:p>
    <w:tbl>
      <w:tblPr>
        <w:tblW w:w="0" w:type="auto"/>
        <w:tblLayout w:type="fixed"/>
        <w:tblCellMar>
          <w:left w:w="62" w:type="dxa"/>
          <w:right w:w="62" w:type="dxa"/>
        </w:tblCellMar>
        <w:tblLook w:val="0000"/>
      </w:tblPr>
      <w:tblGrid>
        <w:gridCol w:w="313"/>
        <w:gridCol w:w="2357"/>
        <w:gridCol w:w="804"/>
        <w:gridCol w:w="5659"/>
      </w:tblGrid>
      <w:tr w:rsidTr="00105CB9">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105CB9">
            <w:pPr>
              <w:pStyle w:val="BodyText"/>
              <w:rPr>
                <w:lang w:val="en-NZ"/>
              </w:rPr>
            </w:pPr>
            <w:r w:rsidRPr="00105CB9">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105CB9">
            <w:pPr>
              <w:pStyle w:val="BodyText"/>
              <w:rPr>
                <w:lang w:val="en-NZ"/>
              </w:rPr>
            </w:pPr>
            <w:r w:rsidRPr="00105CB9">
              <w:t>Performance criteria describe what needs to be done to demonstrate achievement of the element.</w:t>
            </w:r>
          </w:p>
        </w:tc>
      </w:tr>
      <w:tr w:rsidTr="00105CB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05CB9">
            <w:pPr>
              <w:pStyle w:val="BodyText"/>
              <w:rPr>
                <w:lang w:val="en-NZ"/>
              </w:rPr>
            </w:pPr>
            <w:r w:rsidRPr="00105CB9">
              <w:t>1</w:t>
            </w:r>
          </w:p>
        </w:tc>
        <w:tc>
          <w:tcPr>
            <w:tcW w:w="2357" w:type="dxa"/>
            <w:vMerge w:val="restart"/>
            <w:tcBorders>
              <w:top w:val="nil"/>
              <w:left w:val="nil"/>
              <w:bottom w:val="nil"/>
              <w:right w:val="nil"/>
            </w:tcBorders>
            <w:tcMar>
              <w:top w:w="0" w:type="dxa"/>
              <w:left w:w="62" w:type="dxa"/>
              <w:bottom w:w="0" w:type="dxa"/>
              <w:right w:w="62" w:type="dxa"/>
            </w:tcMar>
          </w:tcPr>
          <w:p w:rsidR="00000000" w:rsidP="00105CB9">
            <w:pPr>
              <w:pStyle w:val="BodyText"/>
              <w:rPr>
                <w:lang w:val="en-NZ"/>
              </w:rPr>
            </w:pPr>
            <w:r w:rsidRPr="00105CB9">
              <w:t xml:space="preserve">Develop and manage </w:t>
            </w:r>
            <w:r w:rsidRPr="00105CB9">
              <w:t>knowledge bank on access to and use of the built environment by people with disability.</w:t>
            </w:r>
          </w:p>
        </w:tc>
        <w:tc>
          <w:tcPr>
            <w:tcW w:w="804" w:type="dxa"/>
            <w:tcBorders>
              <w:top w:val="nil"/>
              <w:left w:val="nil"/>
              <w:bottom w:val="nil"/>
              <w:right w:val="nil"/>
            </w:tcBorders>
            <w:tcMar>
              <w:top w:w="0" w:type="dxa"/>
              <w:left w:w="62" w:type="dxa"/>
              <w:bottom w:w="0" w:type="dxa"/>
              <w:right w:w="62" w:type="dxa"/>
            </w:tcMar>
          </w:tcPr>
          <w:p w:rsidR="00000000" w:rsidP="00105CB9">
            <w:pPr>
              <w:pStyle w:val="BodyText"/>
              <w:rPr>
                <w:lang w:val="en-NZ"/>
              </w:rPr>
            </w:pPr>
            <w:r w:rsidRPr="00105CB9">
              <w:t>1.1</w:t>
            </w:r>
          </w:p>
        </w:tc>
        <w:tc>
          <w:tcPr>
            <w:tcW w:w="5659" w:type="dxa"/>
            <w:tcBorders>
              <w:top w:val="nil"/>
              <w:left w:val="nil"/>
              <w:bottom w:val="nil"/>
              <w:right w:val="nil"/>
            </w:tcBorders>
            <w:tcMar>
              <w:top w:w="0" w:type="dxa"/>
              <w:left w:w="62" w:type="dxa"/>
              <w:bottom w:w="0" w:type="dxa"/>
              <w:right w:w="62" w:type="dxa"/>
            </w:tcMar>
          </w:tcPr>
          <w:p w:rsidR="00000000" w:rsidP="00105CB9">
            <w:pPr>
              <w:pStyle w:val="BodyText"/>
              <w:rPr>
                <w:lang w:val="en-NZ"/>
              </w:rPr>
            </w:pPr>
            <w:r w:rsidRPr="00105CB9">
              <w:t xml:space="preserve">Research and evaluate information on the requirements </w:t>
            </w:r>
            <w:r w:rsidRPr="00105CB9">
              <w:t>of people with disability to access and use the built environment.</w:t>
            </w:r>
          </w:p>
        </w:tc>
      </w:tr>
      <w:tr w:rsidTr="00105CB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05CB9">
            <w:pPr>
              <w:pStyle w:val="BodyText"/>
              <w:rPr>
                <w:lang w:val="en-NZ"/>
              </w:rPr>
            </w:pPr>
            <w:r w:rsidRPr="00105CB9">
              <w:t>1.2</w:t>
            </w:r>
          </w:p>
        </w:tc>
        <w:tc>
          <w:tcPr>
            <w:tcW w:w="5659" w:type="dxa"/>
            <w:tcBorders>
              <w:top w:val="nil"/>
              <w:left w:val="nil"/>
              <w:bottom w:val="nil"/>
              <w:right w:val="nil"/>
            </w:tcBorders>
            <w:tcMar>
              <w:top w:w="0" w:type="dxa"/>
              <w:left w:w="62" w:type="dxa"/>
              <w:bottom w:w="0" w:type="dxa"/>
              <w:right w:w="62" w:type="dxa"/>
            </w:tcMar>
          </w:tcPr>
          <w:p w:rsidR="00000000" w:rsidP="00105CB9">
            <w:pPr>
              <w:pStyle w:val="BodyText"/>
              <w:rPr>
                <w:lang w:val="en-NZ"/>
              </w:rPr>
            </w:pPr>
            <w:r w:rsidRPr="00105CB9">
              <w:t>Research and evaluate information on regulatory compliance requirements for people with disability to access and use the built environment.</w:t>
            </w:r>
          </w:p>
        </w:tc>
      </w:tr>
      <w:tr w:rsidTr="00105CB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05CB9">
            <w:pPr>
              <w:pStyle w:val="BodyText"/>
              <w:rPr>
                <w:lang w:val="en-NZ"/>
              </w:rPr>
            </w:pPr>
            <w:r w:rsidRPr="00105CB9">
              <w:t>1.3</w:t>
            </w:r>
          </w:p>
        </w:tc>
        <w:tc>
          <w:tcPr>
            <w:tcW w:w="5659" w:type="dxa"/>
            <w:tcBorders>
              <w:top w:val="nil"/>
              <w:left w:val="nil"/>
              <w:bottom w:val="nil"/>
              <w:right w:val="nil"/>
            </w:tcBorders>
            <w:tcMar>
              <w:top w:w="0" w:type="dxa"/>
              <w:left w:w="62" w:type="dxa"/>
              <w:bottom w:w="0" w:type="dxa"/>
              <w:right w:w="62" w:type="dxa"/>
            </w:tcMar>
          </w:tcPr>
          <w:p w:rsidR="00000000" w:rsidP="00105CB9">
            <w:pPr>
              <w:pStyle w:val="BodyText"/>
              <w:rPr>
                <w:lang w:val="en-NZ"/>
              </w:rPr>
            </w:pPr>
            <w:r w:rsidRPr="00105CB9">
              <w:t>Research and use forums for discussion and debate regarding the effects of disability on access to and use of</w:t>
            </w:r>
            <w:r w:rsidRPr="00105CB9">
              <w:t xml:space="preserve"> the built environment.</w:t>
            </w:r>
          </w:p>
        </w:tc>
      </w:tr>
      <w:tr w:rsidTr="00105CB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05CB9">
            <w:pPr>
              <w:pStyle w:val="BodyText"/>
              <w:rPr>
                <w:lang w:val="en-NZ"/>
              </w:rPr>
            </w:pPr>
            <w:r w:rsidRPr="00105CB9">
              <w:t>1.4</w:t>
            </w:r>
          </w:p>
        </w:tc>
        <w:tc>
          <w:tcPr>
            <w:tcW w:w="5659" w:type="dxa"/>
            <w:tcBorders>
              <w:top w:val="nil"/>
              <w:left w:val="nil"/>
              <w:bottom w:val="nil"/>
              <w:right w:val="nil"/>
            </w:tcBorders>
            <w:tcMar>
              <w:top w:w="0" w:type="dxa"/>
              <w:left w:w="62" w:type="dxa"/>
              <w:bottom w:w="0" w:type="dxa"/>
              <w:right w:w="62" w:type="dxa"/>
            </w:tcMar>
          </w:tcPr>
          <w:p w:rsidR="00000000" w:rsidP="00105CB9">
            <w:pPr>
              <w:pStyle w:val="BodyText"/>
              <w:rPr>
                <w:lang w:val="en-NZ"/>
              </w:rPr>
            </w:pPr>
            <w:r w:rsidRPr="00105CB9">
              <w:t>Implement processes to ensure access to current information on regulatory changes and best practice solutions associated with access to and use of the built environment by people with disability.</w:t>
            </w:r>
          </w:p>
        </w:tc>
      </w:tr>
      <w:tr w:rsidTr="00105CB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05CB9">
            <w:pPr>
              <w:pStyle w:val="BodyText"/>
              <w:rPr>
                <w:lang w:val="en-NZ"/>
              </w:rPr>
            </w:pPr>
            <w:r w:rsidRPr="00105CB9">
              <w:t>1.5</w:t>
            </w:r>
          </w:p>
        </w:tc>
        <w:tc>
          <w:tcPr>
            <w:tcW w:w="5659" w:type="dxa"/>
            <w:tcBorders>
              <w:top w:val="nil"/>
              <w:left w:val="nil"/>
              <w:bottom w:val="nil"/>
              <w:right w:val="nil"/>
            </w:tcBorders>
            <w:tcMar>
              <w:top w:w="0" w:type="dxa"/>
              <w:left w:w="62" w:type="dxa"/>
              <w:bottom w:w="0" w:type="dxa"/>
              <w:right w:w="62" w:type="dxa"/>
            </w:tcMar>
          </w:tcPr>
          <w:p w:rsidR="00000000" w:rsidP="00105CB9">
            <w:pPr>
              <w:pStyle w:val="BodyText"/>
              <w:rPr>
                <w:lang w:val="en-NZ"/>
              </w:rPr>
            </w:pPr>
            <w:r w:rsidRPr="00105CB9">
              <w:t>Use technologies to de</w:t>
            </w:r>
            <w:r w:rsidRPr="00105CB9">
              <w:t>velop and maintain an information management system to ensure currency and availability of information in knowledge bank.</w:t>
            </w:r>
          </w:p>
        </w:tc>
      </w:tr>
      <w:tr w:rsidTr="00105CB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05CB9">
            <w:pPr>
              <w:pStyle w:val="BodyText"/>
              <w:rPr>
                <w:lang w:val="en-NZ"/>
              </w:rPr>
            </w:pPr>
            <w:r w:rsidRPr="00105CB9">
              <w:t>1.6</w:t>
            </w:r>
          </w:p>
        </w:tc>
        <w:tc>
          <w:tcPr>
            <w:tcW w:w="5659" w:type="dxa"/>
            <w:tcBorders>
              <w:top w:val="nil"/>
              <w:left w:val="nil"/>
              <w:bottom w:val="nil"/>
              <w:right w:val="nil"/>
            </w:tcBorders>
            <w:tcMar>
              <w:top w:w="0" w:type="dxa"/>
              <w:left w:w="62" w:type="dxa"/>
              <w:bottom w:w="0" w:type="dxa"/>
              <w:right w:w="62" w:type="dxa"/>
            </w:tcMar>
          </w:tcPr>
          <w:p w:rsidR="00000000" w:rsidP="00105CB9">
            <w:pPr>
              <w:pStyle w:val="BodyText"/>
              <w:rPr>
                <w:lang w:val="en-NZ"/>
              </w:rPr>
            </w:pPr>
            <w:r w:rsidRPr="00105CB9">
              <w:t>Share and discuss information in knowledge bank with relevant persons.</w:t>
            </w:r>
          </w:p>
        </w:tc>
      </w:tr>
      <w:tr w:rsidTr="00105CB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05CB9">
            <w:pPr>
              <w:pStyle w:val="BodyText"/>
              <w:rPr>
                <w:lang w:val="en-NZ"/>
              </w:rPr>
            </w:pPr>
          </w:p>
        </w:tc>
      </w:tr>
      <w:tr w:rsidTr="00105CB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05CB9">
            <w:pPr>
              <w:pStyle w:val="BodyText"/>
              <w:rPr>
                <w:lang w:val="en-NZ"/>
              </w:rPr>
            </w:pPr>
            <w:r w:rsidRPr="00105CB9">
              <w:t>2</w:t>
            </w:r>
          </w:p>
        </w:tc>
        <w:tc>
          <w:tcPr>
            <w:tcW w:w="2357" w:type="dxa"/>
            <w:vMerge w:val="restart"/>
            <w:tcBorders>
              <w:top w:val="nil"/>
              <w:left w:val="nil"/>
              <w:bottom w:val="nil"/>
              <w:right w:val="nil"/>
            </w:tcBorders>
            <w:tcMar>
              <w:top w:w="0" w:type="dxa"/>
              <w:left w:w="62" w:type="dxa"/>
              <w:bottom w:w="0" w:type="dxa"/>
              <w:right w:w="62" w:type="dxa"/>
            </w:tcMar>
          </w:tcPr>
          <w:p w:rsidR="00000000" w:rsidP="00105CB9">
            <w:pPr>
              <w:pStyle w:val="BodyText"/>
              <w:rPr>
                <w:lang w:val="en-NZ"/>
              </w:rPr>
            </w:pPr>
            <w:r w:rsidRPr="00105CB9">
              <w:t>Analyse effects of disability on access to and use of the built environment.</w:t>
            </w:r>
          </w:p>
        </w:tc>
        <w:tc>
          <w:tcPr>
            <w:tcW w:w="804" w:type="dxa"/>
            <w:tcBorders>
              <w:top w:val="nil"/>
              <w:left w:val="nil"/>
              <w:bottom w:val="nil"/>
              <w:right w:val="nil"/>
            </w:tcBorders>
            <w:tcMar>
              <w:top w:w="0" w:type="dxa"/>
              <w:left w:w="62" w:type="dxa"/>
              <w:bottom w:w="0" w:type="dxa"/>
              <w:right w:w="62" w:type="dxa"/>
            </w:tcMar>
          </w:tcPr>
          <w:p w:rsidR="00000000" w:rsidP="00105CB9">
            <w:pPr>
              <w:pStyle w:val="BodyText"/>
              <w:rPr>
                <w:lang w:val="en-NZ"/>
              </w:rPr>
            </w:pPr>
            <w:r w:rsidRPr="00105CB9">
              <w:t>2.1</w:t>
            </w:r>
          </w:p>
        </w:tc>
        <w:tc>
          <w:tcPr>
            <w:tcW w:w="5659" w:type="dxa"/>
            <w:tcBorders>
              <w:top w:val="nil"/>
              <w:left w:val="nil"/>
              <w:bottom w:val="nil"/>
              <w:right w:val="nil"/>
            </w:tcBorders>
            <w:tcMar>
              <w:top w:w="0" w:type="dxa"/>
              <w:left w:w="62" w:type="dxa"/>
              <w:bottom w:w="0" w:type="dxa"/>
              <w:right w:w="62" w:type="dxa"/>
            </w:tcMar>
          </w:tcPr>
          <w:p w:rsidR="00000000" w:rsidP="00105CB9">
            <w:pPr>
              <w:pStyle w:val="BodyText"/>
              <w:rPr>
                <w:lang w:val="en-NZ"/>
              </w:rPr>
            </w:pPr>
            <w:r w:rsidRPr="00105CB9">
              <w:t>Research static and functional anthropometrics of people with physical disabilities and analyse and confirm their requirements for access to and use of the built environment.</w:t>
            </w:r>
          </w:p>
        </w:tc>
      </w:tr>
      <w:tr w:rsidTr="00105CB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05CB9">
            <w:pPr>
              <w:pStyle w:val="BodyText"/>
              <w:rPr>
                <w:lang w:val="en-NZ"/>
              </w:rPr>
            </w:pPr>
            <w:r w:rsidRPr="00105CB9">
              <w:t>2.2</w:t>
            </w:r>
          </w:p>
        </w:tc>
        <w:tc>
          <w:tcPr>
            <w:tcW w:w="5659" w:type="dxa"/>
            <w:tcBorders>
              <w:top w:val="nil"/>
              <w:left w:val="nil"/>
              <w:bottom w:val="nil"/>
              <w:right w:val="nil"/>
            </w:tcBorders>
            <w:tcMar>
              <w:top w:w="0" w:type="dxa"/>
              <w:left w:w="62" w:type="dxa"/>
              <w:bottom w:w="0" w:type="dxa"/>
              <w:right w:w="62" w:type="dxa"/>
            </w:tcMar>
          </w:tcPr>
          <w:p w:rsidR="00000000" w:rsidP="00105CB9">
            <w:pPr>
              <w:pStyle w:val="BodyText"/>
              <w:rPr>
                <w:lang w:val="en-NZ"/>
              </w:rPr>
            </w:pPr>
            <w:r w:rsidRPr="00105CB9">
              <w:t>Research functional abilities and needs of people with sensory impairment and analyse and confirm their requirements for access to and use of the built environment.</w:t>
            </w:r>
          </w:p>
        </w:tc>
      </w:tr>
      <w:tr w:rsidTr="00105CB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05CB9">
            <w:pPr>
              <w:pStyle w:val="BodyText"/>
              <w:rPr>
                <w:lang w:val="en-NZ"/>
              </w:rPr>
            </w:pPr>
            <w:r w:rsidRPr="00105CB9">
              <w:t>2.3</w:t>
            </w:r>
          </w:p>
        </w:tc>
        <w:tc>
          <w:tcPr>
            <w:tcW w:w="5659" w:type="dxa"/>
            <w:tcBorders>
              <w:top w:val="nil"/>
              <w:left w:val="nil"/>
              <w:bottom w:val="nil"/>
              <w:right w:val="nil"/>
            </w:tcBorders>
            <w:tcMar>
              <w:top w:w="0" w:type="dxa"/>
              <w:left w:w="62" w:type="dxa"/>
              <w:bottom w:w="0" w:type="dxa"/>
              <w:right w:w="62" w:type="dxa"/>
            </w:tcMar>
          </w:tcPr>
          <w:p w:rsidR="00000000" w:rsidP="00105CB9">
            <w:pPr>
              <w:pStyle w:val="BodyText"/>
              <w:rPr>
                <w:lang w:val="en-NZ"/>
              </w:rPr>
            </w:pPr>
            <w:r w:rsidRPr="00105CB9">
              <w:t>Research functional abilities and needs of people with cognitive impairment and analyse and confirm their requirements for access to and use of the built environment.</w:t>
            </w:r>
          </w:p>
        </w:tc>
      </w:tr>
      <w:tr w:rsidTr="00105CB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05CB9">
            <w:pPr>
              <w:pStyle w:val="BodyText"/>
              <w:rPr>
                <w:lang w:val="en-NZ"/>
              </w:rPr>
            </w:pPr>
            <w:r w:rsidRPr="00105CB9">
              <w:t>2.4</w:t>
            </w:r>
          </w:p>
        </w:tc>
        <w:tc>
          <w:tcPr>
            <w:tcW w:w="5659" w:type="dxa"/>
            <w:tcBorders>
              <w:top w:val="nil"/>
              <w:left w:val="nil"/>
              <w:bottom w:val="nil"/>
              <w:right w:val="nil"/>
            </w:tcBorders>
            <w:tcMar>
              <w:top w:w="0" w:type="dxa"/>
              <w:left w:w="62" w:type="dxa"/>
              <w:bottom w:w="0" w:type="dxa"/>
              <w:right w:w="62" w:type="dxa"/>
            </w:tcMar>
          </w:tcPr>
          <w:p w:rsidR="00000000" w:rsidP="00105CB9">
            <w:pPr>
              <w:pStyle w:val="BodyText"/>
              <w:rPr>
                <w:lang w:val="en-NZ"/>
              </w:rPr>
            </w:pPr>
            <w:r w:rsidRPr="00105CB9">
              <w:t>Monitor advancements in ergonomic practices and data and apply relevant informatio</w:t>
            </w:r>
            <w:r w:rsidRPr="00105CB9">
              <w:t>n to analysis of requirements for access to and use of the built environment.</w:t>
            </w:r>
          </w:p>
        </w:tc>
      </w:tr>
      <w:tr w:rsidTr="00105CB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05CB9">
            <w:pPr>
              <w:pStyle w:val="BodyText"/>
              <w:rPr>
                <w:lang w:val="en-NZ"/>
              </w:rPr>
            </w:pPr>
          </w:p>
        </w:tc>
      </w:tr>
      <w:tr w:rsidTr="00105CB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05CB9">
            <w:pPr>
              <w:pStyle w:val="BodyText"/>
              <w:rPr>
                <w:lang w:val="en-NZ"/>
              </w:rPr>
            </w:pPr>
            <w:r w:rsidRPr="00105CB9">
              <w:t>3</w:t>
            </w:r>
          </w:p>
        </w:tc>
        <w:tc>
          <w:tcPr>
            <w:tcW w:w="2357" w:type="dxa"/>
            <w:vMerge w:val="restart"/>
            <w:tcBorders>
              <w:top w:val="nil"/>
              <w:left w:val="nil"/>
              <w:bottom w:val="nil"/>
              <w:right w:val="nil"/>
            </w:tcBorders>
            <w:tcMar>
              <w:top w:w="0" w:type="dxa"/>
              <w:left w:w="62" w:type="dxa"/>
              <w:bottom w:w="0" w:type="dxa"/>
              <w:right w:w="62" w:type="dxa"/>
            </w:tcMar>
          </w:tcPr>
          <w:p w:rsidR="00000000" w:rsidP="00105CB9">
            <w:pPr>
              <w:pStyle w:val="BodyText"/>
              <w:rPr>
                <w:lang w:val="en-NZ"/>
              </w:rPr>
            </w:pPr>
            <w:r w:rsidRPr="00105CB9">
              <w:t xml:space="preserve">Analyse regulatory compliance requirements for </w:t>
            </w:r>
            <w:r w:rsidRPr="00105CB9">
              <w:t>access to and use of the built environment.</w:t>
            </w:r>
          </w:p>
        </w:tc>
        <w:tc>
          <w:tcPr>
            <w:tcW w:w="804" w:type="dxa"/>
            <w:tcBorders>
              <w:top w:val="nil"/>
              <w:left w:val="nil"/>
              <w:bottom w:val="nil"/>
              <w:right w:val="nil"/>
            </w:tcBorders>
            <w:tcMar>
              <w:top w:w="0" w:type="dxa"/>
              <w:left w:w="62" w:type="dxa"/>
              <w:bottom w:w="0" w:type="dxa"/>
              <w:right w:w="62" w:type="dxa"/>
            </w:tcMar>
          </w:tcPr>
          <w:p w:rsidR="00000000" w:rsidP="00105CB9">
            <w:pPr>
              <w:pStyle w:val="BodyText"/>
              <w:rPr>
                <w:lang w:val="en-NZ"/>
              </w:rPr>
            </w:pPr>
            <w:r w:rsidRPr="00105CB9">
              <w:t>3.1</w:t>
            </w:r>
          </w:p>
        </w:tc>
        <w:tc>
          <w:tcPr>
            <w:tcW w:w="5659" w:type="dxa"/>
            <w:tcBorders>
              <w:top w:val="nil"/>
              <w:left w:val="nil"/>
              <w:bottom w:val="nil"/>
              <w:right w:val="nil"/>
            </w:tcBorders>
            <w:tcMar>
              <w:top w:w="0" w:type="dxa"/>
              <w:left w:w="62" w:type="dxa"/>
              <w:bottom w:w="0" w:type="dxa"/>
              <w:right w:w="62" w:type="dxa"/>
            </w:tcMar>
          </w:tcPr>
          <w:p w:rsidR="00000000" w:rsidP="00105CB9">
            <w:pPr>
              <w:pStyle w:val="BodyText"/>
              <w:rPr>
                <w:lang w:val="en-NZ"/>
              </w:rPr>
            </w:pPr>
            <w:r w:rsidRPr="00105CB9">
              <w:t xml:space="preserve">Analyse content and application of relevant legislation, codes and standards in relation to ergonomic principles and access and use requirements of people with </w:t>
            </w:r>
            <w:r w:rsidRPr="00105CB9">
              <w:t>disability.</w:t>
            </w:r>
          </w:p>
        </w:tc>
      </w:tr>
      <w:tr w:rsidTr="00105CB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05CB9">
            <w:pPr>
              <w:pStyle w:val="BodyText"/>
              <w:rPr>
                <w:lang w:val="en-NZ"/>
              </w:rPr>
            </w:pPr>
            <w:r w:rsidRPr="00105CB9">
              <w:t>3.2</w:t>
            </w:r>
          </w:p>
        </w:tc>
        <w:tc>
          <w:tcPr>
            <w:tcW w:w="5659" w:type="dxa"/>
            <w:tcBorders>
              <w:top w:val="nil"/>
              <w:left w:val="nil"/>
              <w:bottom w:val="nil"/>
              <w:right w:val="nil"/>
            </w:tcBorders>
            <w:tcMar>
              <w:top w:w="0" w:type="dxa"/>
              <w:left w:w="62" w:type="dxa"/>
              <w:bottom w:w="0" w:type="dxa"/>
              <w:right w:w="62" w:type="dxa"/>
            </w:tcMar>
          </w:tcPr>
          <w:p w:rsidR="00000000" w:rsidP="00105CB9">
            <w:pPr>
              <w:pStyle w:val="BodyText"/>
              <w:rPr>
                <w:lang w:val="en-NZ"/>
              </w:rPr>
            </w:pPr>
            <w:r w:rsidRPr="00105CB9">
              <w:t>Analyse content and application of relevant government development policies and urban planning regulations in relation to ergonomic principles and access and use requirements of people with disability.</w:t>
            </w:r>
          </w:p>
        </w:tc>
      </w:tr>
      <w:tr w:rsidTr="00105CB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05CB9">
            <w:pPr>
              <w:pStyle w:val="BodyText"/>
              <w:rPr>
                <w:lang w:val="en-NZ"/>
              </w:rPr>
            </w:pPr>
            <w:r w:rsidRPr="00105CB9">
              <w:t>3.3</w:t>
            </w:r>
          </w:p>
        </w:tc>
        <w:tc>
          <w:tcPr>
            <w:tcW w:w="5659" w:type="dxa"/>
            <w:tcBorders>
              <w:top w:val="nil"/>
              <w:left w:val="nil"/>
              <w:bottom w:val="nil"/>
              <w:right w:val="nil"/>
            </w:tcBorders>
            <w:tcMar>
              <w:top w:w="0" w:type="dxa"/>
              <w:left w:w="62" w:type="dxa"/>
              <w:bottom w:w="0" w:type="dxa"/>
              <w:right w:w="62" w:type="dxa"/>
            </w:tcMar>
          </w:tcPr>
          <w:p w:rsidR="00000000" w:rsidP="00105CB9">
            <w:pPr>
              <w:pStyle w:val="BodyText"/>
              <w:rPr>
                <w:lang w:val="en-NZ"/>
              </w:rPr>
            </w:pPr>
            <w:r w:rsidRPr="00105CB9">
              <w:t xml:space="preserve">Identify conflicting compliance provisions and </w:t>
            </w:r>
            <w:r w:rsidRPr="00105CB9">
              <w:t>access issues that are not the subject of legislation and analyse and critique access solutions in consultation with relevant persons.</w:t>
            </w:r>
          </w:p>
        </w:tc>
      </w:tr>
      <w:tr w:rsidTr="00105CB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05CB9">
            <w:pPr>
              <w:pStyle w:val="BodyText"/>
              <w:rPr>
                <w:lang w:val="en-NZ"/>
              </w:rPr>
            </w:pPr>
          </w:p>
        </w:tc>
      </w:tr>
      <w:tr w:rsidTr="00105CB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05CB9">
            <w:pPr>
              <w:pStyle w:val="BodyText"/>
              <w:rPr>
                <w:lang w:val="en-NZ"/>
              </w:rPr>
            </w:pPr>
            <w:r w:rsidRPr="00105CB9">
              <w:t>4</w:t>
            </w:r>
          </w:p>
        </w:tc>
        <w:tc>
          <w:tcPr>
            <w:tcW w:w="2357" w:type="dxa"/>
            <w:vMerge w:val="restart"/>
            <w:tcBorders>
              <w:top w:val="nil"/>
              <w:left w:val="nil"/>
              <w:bottom w:val="nil"/>
              <w:right w:val="nil"/>
            </w:tcBorders>
            <w:tcMar>
              <w:top w:w="0" w:type="dxa"/>
              <w:left w:w="62" w:type="dxa"/>
              <w:bottom w:w="0" w:type="dxa"/>
              <w:right w:w="62" w:type="dxa"/>
            </w:tcMar>
          </w:tcPr>
          <w:p w:rsidR="00000000" w:rsidP="00105CB9">
            <w:pPr>
              <w:pStyle w:val="BodyText"/>
              <w:rPr>
                <w:lang w:val="en-NZ"/>
              </w:rPr>
            </w:pPr>
            <w:r w:rsidRPr="00105CB9">
              <w:t>Contribute to the development of the access consulting sector.</w:t>
            </w:r>
          </w:p>
        </w:tc>
        <w:tc>
          <w:tcPr>
            <w:tcW w:w="804" w:type="dxa"/>
            <w:tcBorders>
              <w:top w:val="nil"/>
              <w:left w:val="nil"/>
              <w:bottom w:val="nil"/>
              <w:right w:val="nil"/>
            </w:tcBorders>
            <w:tcMar>
              <w:top w:w="0" w:type="dxa"/>
              <w:left w:w="62" w:type="dxa"/>
              <w:bottom w:w="0" w:type="dxa"/>
              <w:right w:w="62" w:type="dxa"/>
            </w:tcMar>
          </w:tcPr>
          <w:p w:rsidR="00000000" w:rsidP="00105CB9">
            <w:pPr>
              <w:pStyle w:val="BodyText"/>
              <w:rPr>
                <w:lang w:val="en-NZ"/>
              </w:rPr>
            </w:pPr>
            <w:r w:rsidRPr="00105CB9">
              <w:t>4.1</w:t>
            </w:r>
          </w:p>
        </w:tc>
        <w:tc>
          <w:tcPr>
            <w:tcW w:w="5659" w:type="dxa"/>
            <w:tcBorders>
              <w:top w:val="nil"/>
              <w:left w:val="nil"/>
              <w:bottom w:val="nil"/>
              <w:right w:val="nil"/>
            </w:tcBorders>
            <w:tcMar>
              <w:top w:w="0" w:type="dxa"/>
              <w:left w:w="62" w:type="dxa"/>
              <w:bottom w:w="0" w:type="dxa"/>
              <w:right w:w="62" w:type="dxa"/>
            </w:tcMar>
          </w:tcPr>
          <w:p w:rsidR="00000000" w:rsidP="00105CB9">
            <w:pPr>
              <w:pStyle w:val="BodyText"/>
              <w:rPr>
                <w:lang w:val="en-NZ"/>
              </w:rPr>
            </w:pPr>
            <w:r w:rsidRPr="00105CB9">
              <w:t>Seek opportunities for learning an</w:t>
            </w:r>
            <w:r w:rsidRPr="00105CB9">
              <w:t>d reflection on the needs of people with disability and principles of access and use and discuss findings with relevant persons to refine ideas.</w:t>
            </w:r>
          </w:p>
        </w:tc>
      </w:tr>
      <w:tr w:rsidTr="00105CB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05CB9">
            <w:pPr>
              <w:pStyle w:val="BodyText"/>
              <w:rPr>
                <w:lang w:val="en-NZ"/>
              </w:rPr>
            </w:pPr>
            <w:r w:rsidRPr="00105CB9">
              <w:t>4.2</w:t>
            </w:r>
          </w:p>
        </w:tc>
        <w:tc>
          <w:tcPr>
            <w:tcW w:w="5659" w:type="dxa"/>
            <w:tcBorders>
              <w:top w:val="nil"/>
              <w:left w:val="nil"/>
              <w:bottom w:val="nil"/>
              <w:right w:val="nil"/>
            </w:tcBorders>
            <w:tcMar>
              <w:top w:w="0" w:type="dxa"/>
              <w:left w:w="62" w:type="dxa"/>
              <w:bottom w:w="0" w:type="dxa"/>
              <w:right w:w="62" w:type="dxa"/>
            </w:tcMar>
          </w:tcPr>
          <w:p w:rsidR="00000000" w:rsidP="00105CB9">
            <w:pPr>
              <w:pStyle w:val="BodyText"/>
              <w:rPr>
                <w:lang w:val="en-NZ"/>
              </w:rPr>
            </w:pPr>
            <w:r w:rsidRPr="00105CB9">
              <w:t>Document research findings on best practice in access and use provision and share with relevant persons.</w:t>
            </w:r>
          </w:p>
        </w:tc>
      </w:tr>
      <w:tr w:rsidTr="00105CB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05CB9">
            <w:pPr>
              <w:pStyle w:val="BodyText"/>
              <w:rPr>
                <w:lang w:val="en-NZ"/>
              </w:rPr>
            </w:pPr>
            <w:r w:rsidRPr="00105CB9">
              <w:t>4.3</w:t>
            </w:r>
          </w:p>
        </w:tc>
        <w:tc>
          <w:tcPr>
            <w:tcW w:w="5659" w:type="dxa"/>
            <w:tcBorders>
              <w:top w:val="nil"/>
              <w:left w:val="nil"/>
              <w:bottom w:val="nil"/>
              <w:right w:val="nil"/>
            </w:tcBorders>
            <w:tcMar>
              <w:top w:w="0" w:type="dxa"/>
              <w:left w:w="62" w:type="dxa"/>
              <w:bottom w:w="0" w:type="dxa"/>
              <w:right w:w="62" w:type="dxa"/>
            </w:tcMar>
          </w:tcPr>
          <w:p w:rsidR="00000000" w:rsidP="00105CB9">
            <w:pPr>
              <w:pStyle w:val="BodyText"/>
              <w:rPr>
                <w:lang w:val="en-NZ"/>
              </w:rPr>
            </w:pPr>
            <w:r w:rsidRPr="00105CB9">
              <w:t>Seek opportunities to participate in and contribute to professional debate and decision making relating to access and use compliance issues and solutions.</w:t>
            </w:r>
          </w:p>
        </w:tc>
      </w:tr>
      <w:tr w:rsidTr="00105CB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05CB9">
            <w:pPr>
              <w:pStyle w:val="BodyText"/>
              <w:rPr>
                <w:lang w:val="en-NZ"/>
              </w:rPr>
            </w:pPr>
            <w:r w:rsidRPr="00105CB9">
              <w:t>4.4</w:t>
            </w:r>
          </w:p>
        </w:tc>
        <w:tc>
          <w:tcPr>
            <w:tcW w:w="5659" w:type="dxa"/>
            <w:tcBorders>
              <w:top w:val="nil"/>
              <w:left w:val="nil"/>
              <w:bottom w:val="nil"/>
              <w:right w:val="nil"/>
            </w:tcBorders>
            <w:tcMar>
              <w:top w:w="0" w:type="dxa"/>
              <w:left w:w="62" w:type="dxa"/>
              <w:bottom w:w="0" w:type="dxa"/>
              <w:right w:w="62" w:type="dxa"/>
            </w:tcMar>
          </w:tcPr>
          <w:p w:rsidR="00000000" w:rsidRPr="00105CB9" w:rsidP="00105CB9">
            <w:pPr>
              <w:pStyle w:val="BodyText"/>
            </w:pPr>
            <w:r w:rsidRPr="00105CB9">
              <w:t>Seek and contribute to opportunities to improve access and use provisions.</w:t>
            </w:r>
          </w:p>
        </w:tc>
      </w:tr>
    </w:tbl>
    <w:p w:rsidR="00000000" w:rsidRPr="00105CB9" w:rsidP="00105CB9">
      <w:pPr>
        <w:pStyle w:val="BodyText"/>
      </w:pPr>
    </w:p>
    <w:p w:rsidR="00000000" w:rsidRPr="00105CB9" w:rsidP="00105CB9">
      <w:pPr>
        <w:pStyle w:val="AllowPageBreak"/>
      </w:pPr>
    </w:p>
    <w:p w:rsidR="00000000" w:rsidRPr="00105CB9" w:rsidP="00105CB9">
      <w:pPr>
        <w:pStyle w:val="Heading1"/>
      </w:pPr>
      <w:bookmarkStart w:id="6" w:name="O_905520"/>
      <w:bookmarkEnd w:id="6"/>
      <w:r w:rsidRPr="00105CB9">
        <w:t>Foundation Skills</w:t>
      </w:r>
    </w:p>
    <w:p w:rsidR="00000000" w:rsidRPr="00105CB9" w:rsidP="007632A3">
      <w:pPr>
        <w:pStyle w:val="BodyText"/>
      </w:pPr>
      <w:r w:rsidRPr="00105CB9">
        <w:t>Foundation skills essential to performance are explicit in the performance criteria of this unit of competency.</w:t>
      </w:r>
    </w:p>
    <w:p w:rsidR="00000000" w:rsidRPr="00105CB9" w:rsidP="00105CB9">
      <w:pPr>
        <w:pStyle w:val="Heading1"/>
      </w:pPr>
      <w:bookmarkStart w:id="7" w:name="O_905518"/>
      <w:bookmarkEnd w:id="7"/>
      <w:r w:rsidRPr="00105CB9">
        <w:t>Unit Mapping Information</w:t>
      </w:r>
    </w:p>
    <w:p w:rsidR="00000000" w:rsidRPr="00105CB9" w:rsidP="007632A3">
      <w:pPr>
        <w:pStyle w:val="BodyText"/>
      </w:pPr>
      <w:r w:rsidRPr="00105CB9">
        <w:t xml:space="preserve">Supersedes and is equivalent to CPPACC8001A Research and analyse access and </w:t>
      </w:r>
      <w:r w:rsidRPr="00105CB9">
        <w:t>use requirements for people with diverse disabilities.</w:t>
      </w:r>
    </w:p>
    <w:p w:rsidR="00000000" w:rsidRPr="00105CB9" w:rsidP="00105CB9">
      <w:pPr>
        <w:pStyle w:val="Heading1"/>
      </w:pPr>
      <w:bookmarkStart w:id="8" w:name="O_905511"/>
      <w:bookmarkEnd w:id="8"/>
      <w:r w:rsidRPr="00105CB9">
        <w:t>Links</w:t>
      </w:r>
    </w:p>
    <w:p w:rsidR="00000000" w:rsidRPr="00105CB9" w:rsidP="007632A3">
      <w:pPr>
        <w:pStyle w:val="BodyText"/>
      </w:pPr>
      <w:r w:rsidRPr="00105CB9">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675210">
        <w:rPr>
          <w:rStyle w:val="Hyperlink"/>
        </w:rPr>
        <w:t>https://vetnet.gov.au/Pages/TrainingDocs.aspx?q=6f3f9672-30e8-4835-b348-205dfcf13d9b</w:t>
      </w:r>
      <w:r>
        <w:fldChar w:fldCharType="end"/>
      </w:r>
    </w:p>
    <w:p w:rsidR="00000000" w:rsidRPr="00105CB9" w:rsidP="007632A3">
      <w:pPr>
        <w:pStyle w:val="BodyText"/>
        <w:sectPr w:rsidSect="00105CB9">
          <w:headerReference w:type="default" r:id="rId10"/>
          <w:footerReference w:type="default" r:id="rId11"/>
          <w:pgSz w:w="11908" w:h="16833"/>
          <w:pgMar w:top="1702" w:right="1418" w:bottom="1702" w:left="1418" w:header="992" w:footer="992" w:gutter="0"/>
          <w:cols w:space="720"/>
          <w:noEndnote/>
          <w:docGrid w:linePitch="299"/>
        </w:sectPr>
      </w:pPr>
    </w:p>
    <w:p w:rsidR="00000000" w:rsidRPr="00105CB9" w:rsidP="00105CB9">
      <w:pPr>
        <w:pStyle w:val="SuperHeading"/>
      </w:pPr>
      <w:r w:rsidRPr="00105CB9">
        <w:t>Assessment Requirements for CPPACC8001 Research and analyse access and use requirements for people with diverse disabilities</w:t>
      </w:r>
    </w:p>
    <w:p w:rsidR="00000000" w:rsidRPr="00105CB9" w:rsidP="00105CB9">
      <w:pPr>
        <w:pStyle w:val="Heading1"/>
      </w:pPr>
      <w:bookmarkStart w:id="9" w:name="O_905513"/>
      <w:bookmarkEnd w:id="9"/>
      <w:r w:rsidRPr="00105CB9">
        <w:t>Modification History</w:t>
      </w:r>
    </w:p>
    <w:tbl>
      <w:tblPr>
        <w:tblW w:w="0" w:type="auto"/>
        <w:tblLayout w:type="fixed"/>
        <w:tblCellMar>
          <w:left w:w="62" w:type="dxa"/>
          <w:right w:w="62" w:type="dxa"/>
        </w:tblCellMar>
        <w:tblLook w:val="0000"/>
      </w:tblPr>
      <w:tblGrid>
        <w:gridCol w:w="1128"/>
        <w:gridCol w:w="7944"/>
      </w:tblGrid>
      <w:tr w:rsidTr="00105CB9">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05CB9">
            <w:pPr>
              <w:pStyle w:val="BodyText"/>
              <w:rPr>
                <w:lang w:val="en-NZ"/>
              </w:rPr>
            </w:pPr>
            <w:r w:rsidRPr="00105CB9">
              <w:t>Release 1</w:t>
            </w:r>
          </w:p>
        </w:tc>
        <w:tc>
          <w:tcPr>
            <w:tcW w:w="7944" w:type="dxa"/>
            <w:tcBorders>
              <w:top w:val="nil"/>
              <w:left w:val="nil"/>
              <w:bottom w:val="nil"/>
              <w:right w:val="nil"/>
            </w:tcBorders>
            <w:tcMar>
              <w:top w:w="0" w:type="dxa"/>
              <w:left w:w="62" w:type="dxa"/>
              <w:bottom w:w="0" w:type="dxa"/>
              <w:right w:w="62" w:type="dxa"/>
            </w:tcMar>
          </w:tcPr>
          <w:p w:rsidR="00000000" w:rsidRPr="00105CB9" w:rsidP="00105CB9">
            <w:pPr>
              <w:pStyle w:val="BodyText"/>
            </w:pPr>
            <w:r w:rsidRPr="00105CB9">
              <w:t>This unit first released with CPP Property Services Training Pa</w:t>
            </w:r>
            <w:r w:rsidRPr="00105CB9">
              <w:t>ckage Release 14.0.</w:t>
            </w:r>
          </w:p>
          <w:p w:rsidR="00000000" w:rsidRPr="00105CB9" w:rsidP="00105CB9">
            <w:pPr>
              <w:pStyle w:val="BodyText"/>
            </w:pPr>
            <w:r w:rsidRPr="00105CB9">
              <w:t>Supersedes and is equivalent to CPPACC8001A Research and analyse access and use requirements for people with diverse disabilities.</w:t>
            </w:r>
          </w:p>
          <w:p w:rsidR="00000000" w:rsidRPr="00105CB9" w:rsidP="00105CB9">
            <w:pPr>
              <w:pStyle w:val="BodyText"/>
            </w:pPr>
            <w:r w:rsidRPr="00105CB9">
              <w:t xml:space="preserve">Unit updated to meet the Standards for Training Packages 2012. </w:t>
            </w:r>
          </w:p>
        </w:tc>
      </w:tr>
    </w:tbl>
    <w:p w:rsidR="00000000" w:rsidRPr="00105CB9" w:rsidP="00105CB9">
      <w:pPr>
        <w:pStyle w:val="BodyText"/>
      </w:pPr>
    </w:p>
    <w:p w:rsidR="00000000" w:rsidRPr="00105CB9" w:rsidP="00105CB9">
      <w:pPr>
        <w:pStyle w:val="AllowPageBreak"/>
      </w:pPr>
    </w:p>
    <w:p w:rsidR="00000000" w:rsidRPr="00105CB9" w:rsidP="00105CB9">
      <w:pPr>
        <w:pStyle w:val="Heading1"/>
      </w:pPr>
      <w:bookmarkStart w:id="10" w:name="O_905516"/>
      <w:bookmarkEnd w:id="10"/>
      <w:r w:rsidRPr="00105CB9">
        <w:t>Performance Evidence</w:t>
      </w:r>
    </w:p>
    <w:p w:rsidR="00000000" w:rsidRPr="00105CB9" w:rsidP="007632A3">
      <w:pPr>
        <w:pStyle w:val="BodyText"/>
      </w:pPr>
      <w:r w:rsidRPr="00105CB9">
        <w:t>T</w:t>
      </w:r>
      <w:r w:rsidRPr="00105CB9">
        <w:t>o demonstrate competency, a candidate must meet the elements and performance criteria of this unit by researching and analysing access and use requirements for people with diverse disabilities, including:</w:t>
      </w:r>
    </w:p>
    <w:p w:rsidR="00000000" w:rsidRPr="00105CB9" w:rsidP="00105CB9">
      <w:pPr>
        <w:pStyle w:val="ListBullet"/>
      </w:pPr>
      <w:r w:rsidRPr="00105CB9">
        <w:t>auditory disabilities</w:t>
      </w:r>
    </w:p>
    <w:p w:rsidR="00000000" w:rsidRPr="00105CB9" w:rsidP="00105CB9">
      <w:pPr>
        <w:pStyle w:val="ListBullet"/>
      </w:pPr>
      <w:r w:rsidRPr="00105CB9">
        <w:t>cognitive disabilities</w:t>
      </w:r>
    </w:p>
    <w:p w:rsidR="00000000" w:rsidRPr="00105CB9" w:rsidP="00105CB9">
      <w:pPr>
        <w:pStyle w:val="ListBullet"/>
      </w:pPr>
      <w:r w:rsidRPr="00105CB9">
        <w:t>mobility disabilities</w:t>
      </w:r>
    </w:p>
    <w:p w:rsidR="00000000" w:rsidRPr="00105CB9" w:rsidP="00105CB9">
      <w:pPr>
        <w:pStyle w:val="ListBullet"/>
      </w:pPr>
      <w:r w:rsidRPr="00105CB9">
        <w:t>muscle wasting and weakness disabilities</w:t>
      </w:r>
    </w:p>
    <w:p w:rsidR="00000000" w:rsidRPr="00105CB9" w:rsidP="00105CB9">
      <w:pPr>
        <w:pStyle w:val="ListBullet"/>
      </w:pPr>
      <w:r w:rsidRPr="00105CB9">
        <w:t>psychiatric disabilities</w:t>
      </w:r>
    </w:p>
    <w:p w:rsidR="00000000" w:rsidRPr="00105CB9" w:rsidP="00105CB9">
      <w:pPr>
        <w:pStyle w:val="ListBullet"/>
      </w:pPr>
      <w:r w:rsidRPr="00105CB9">
        <w:t>vision disabilities.</w:t>
      </w:r>
    </w:p>
    <w:p w:rsidR="00000000" w:rsidRPr="00105CB9" w:rsidP="00105CB9">
      <w:pPr>
        <w:pStyle w:val="AllowPageBreak"/>
      </w:pPr>
    </w:p>
    <w:p w:rsidR="00000000" w:rsidRPr="00105CB9" w:rsidP="00105CB9">
      <w:pPr>
        <w:pStyle w:val="Heading1"/>
      </w:pPr>
      <w:bookmarkStart w:id="11" w:name="O_905515"/>
      <w:bookmarkEnd w:id="11"/>
      <w:r w:rsidRPr="00105CB9">
        <w:t>Knowledge Evidence</w:t>
      </w:r>
    </w:p>
    <w:p w:rsidR="00000000" w:rsidRPr="00105CB9" w:rsidP="007632A3">
      <w:pPr>
        <w:pStyle w:val="BodyText"/>
      </w:pPr>
      <w:r w:rsidRPr="00105CB9">
        <w:t>To be competent in this unit, a candidate must demonstrate knowledge of:</w:t>
      </w:r>
    </w:p>
    <w:p w:rsidR="00000000" w:rsidRPr="00105CB9" w:rsidP="00105CB9">
      <w:pPr>
        <w:pStyle w:val="ListBullet"/>
      </w:pPr>
      <w:r w:rsidRPr="00105CB9">
        <w:t>accessibility requirements relating t</w:t>
      </w:r>
      <w:r w:rsidRPr="00105CB9">
        <w:t>o equipment used by people with disability</w:t>
      </w:r>
    </w:p>
    <w:p w:rsidR="00000000" w:rsidRPr="00105CB9" w:rsidP="00105CB9">
      <w:pPr>
        <w:pStyle w:val="ListBullet"/>
      </w:pPr>
      <w:r w:rsidRPr="00105CB9">
        <w:t>best practices in access and use including measures that exceed compliance requirements</w:t>
      </w:r>
    </w:p>
    <w:p w:rsidR="00000000" w:rsidRPr="00105CB9" w:rsidP="00105CB9">
      <w:pPr>
        <w:pStyle w:val="ListBullet"/>
      </w:pPr>
      <w:r w:rsidRPr="00105CB9">
        <w:t>Commonwealth, state and territory legislation, regulations, codes and standards relevant to access and use compliance:</w:t>
      </w:r>
    </w:p>
    <w:p w:rsidR="00000000" w:rsidRPr="00105CB9" w:rsidP="00105CB9">
      <w:pPr>
        <w:pStyle w:val="ListBullet2"/>
      </w:pPr>
      <w:r w:rsidRPr="00105CB9">
        <w:t>anti-</w:t>
      </w:r>
      <w:r w:rsidRPr="00105CB9">
        <w:t>discrimination and disability discrimination</w:t>
      </w:r>
    </w:p>
    <w:p w:rsidR="00000000" w:rsidRPr="00105CB9" w:rsidP="00105CB9">
      <w:pPr>
        <w:pStyle w:val="ListBullet2"/>
      </w:pPr>
      <w:r w:rsidRPr="00105CB9">
        <w:t>building control including local government regulations and by-laws</w:t>
      </w:r>
    </w:p>
    <w:p w:rsidR="00000000" w:rsidRPr="00105CB9" w:rsidP="00105CB9">
      <w:pPr>
        <w:pStyle w:val="ListBullet2"/>
      </w:pPr>
      <w:r w:rsidRPr="00105CB9">
        <w:t>National Construction Code (NCC) building classifications and access requirements</w:t>
      </w:r>
    </w:p>
    <w:p w:rsidR="00000000" w:rsidRPr="00105CB9" w:rsidP="00105CB9">
      <w:pPr>
        <w:pStyle w:val="ListBullet2"/>
      </w:pPr>
      <w:r w:rsidRPr="00105CB9">
        <w:t>Disability (Access to Premises –</w:t>
      </w:r>
      <w:r w:rsidRPr="00105CB9">
        <w:t xml:space="preserve"> Buildings) Standards 2010 and Disability Standards for Accessible Public Transport 2002 under the Disability Discrimination Act 1992 (or their successors) - known as the Access to Premises Standards and Transport Standards</w:t>
      </w:r>
    </w:p>
    <w:p w:rsidR="00000000" w:rsidRPr="00105CB9" w:rsidP="00105CB9">
      <w:pPr>
        <w:pStyle w:val="ListBullet2"/>
      </w:pPr>
      <w:r w:rsidRPr="00105CB9">
        <w:t>National Disability Insurance Sc</w:t>
      </w:r>
      <w:r w:rsidRPr="00105CB9">
        <w:t>heme (NDIS) Specialist Disability Accommodation Design Standard (or its successor)</w:t>
      </w:r>
    </w:p>
    <w:p w:rsidR="00000000" w:rsidRPr="00105CB9" w:rsidP="00105CB9">
      <w:pPr>
        <w:pStyle w:val="ListBullet2"/>
      </w:pPr>
      <w:r w:rsidRPr="00105CB9">
        <w:t>Livable Housing Australia Livable Housing Design Guidelines (or its successor)</w:t>
      </w:r>
    </w:p>
    <w:p w:rsidR="00000000" w:rsidRPr="00105CB9" w:rsidP="00105CB9">
      <w:pPr>
        <w:pStyle w:val="ListBullet2"/>
      </w:pPr>
      <w:r w:rsidRPr="00105CB9">
        <w:t>principles of universal design</w:t>
      </w:r>
    </w:p>
    <w:p w:rsidR="00000000" w:rsidRPr="00105CB9" w:rsidP="00105CB9">
      <w:pPr>
        <w:pStyle w:val="ListBullet2"/>
      </w:pPr>
      <w:r w:rsidRPr="00105CB9">
        <w:t>privacy and confidentiality</w:t>
      </w:r>
    </w:p>
    <w:p w:rsidR="00000000" w:rsidRPr="00105CB9" w:rsidP="00105CB9">
      <w:pPr>
        <w:pStyle w:val="ListBullet"/>
      </w:pPr>
      <w:r w:rsidRPr="00105CB9">
        <w:t>principles of access to and use of</w:t>
      </w:r>
      <w:r w:rsidRPr="00105CB9">
        <w:t xml:space="preserve"> the built environment:</w:t>
      </w:r>
    </w:p>
    <w:p w:rsidR="00000000" w:rsidRPr="00105CB9" w:rsidP="00105CB9">
      <w:pPr>
        <w:pStyle w:val="ListBullet2"/>
      </w:pPr>
      <w:r w:rsidRPr="00105CB9">
        <w:t>adaptable design</w:t>
      </w:r>
    </w:p>
    <w:p w:rsidR="00000000" w:rsidRPr="00105CB9" w:rsidP="00105CB9">
      <w:pPr>
        <w:pStyle w:val="ListBullet2"/>
      </w:pPr>
      <w:r w:rsidRPr="00105CB9">
        <w:t>best practice solutions to access and use requirements</w:t>
      </w:r>
    </w:p>
    <w:p w:rsidR="00000000" w:rsidRPr="00105CB9" w:rsidP="00105CB9">
      <w:pPr>
        <w:pStyle w:val="ListBullet"/>
      </w:pPr>
      <w:r w:rsidRPr="00105CB9">
        <w:t>principles of ergonomics and advancements in ergonomic practices</w:t>
      </w:r>
    </w:p>
    <w:p w:rsidR="00000000" w:rsidRPr="00105CB9" w:rsidP="00105CB9">
      <w:pPr>
        <w:pStyle w:val="ListBullet"/>
      </w:pPr>
      <w:r w:rsidRPr="00105CB9">
        <w:t xml:space="preserve">professional networks and forums for sharing and debating access and use information, issues </w:t>
      </w:r>
      <w:r w:rsidRPr="00105CB9">
        <w:t>and solutions</w:t>
      </w:r>
    </w:p>
    <w:p w:rsidR="00000000" w:rsidRPr="00105CB9" w:rsidP="00105CB9">
      <w:pPr>
        <w:pStyle w:val="ListBullet"/>
      </w:pPr>
      <w:r w:rsidRPr="00105CB9">
        <w:t>research techniques</w:t>
      </w:r>
    </w:p>
    <w:p w:rsidR="00000000" w:rsidRPr="00105CB9" w:rsidP="00105CB9">
      <w:pPr>
        <w:pStyle w:val="ListBullet"/>
      </w:pPr>
      <w:r w:rsidRPr="00105CB9">
        <w:t>scope of functions of the human body:</w:t>
      </w:r>
    </w:p>
    <w:p w:rsidR="00000000" w:rsidRPr="00105CB9" w:rsidP="00105CB9">
      <w:pPr>
        <w:pStyle w:val="ListBullet2"/>
      </w:pPr>
      <w:r w:rsidRPr="00105CB9">
        <w:t>auditory and visual processing</w:t>
      </w:r>
    </w:p>
    <w:p w:rsidR="00000000" w:rsidRPr="00105CB9" w:rsidP="00105CB9">
      <w:pPr>
        <w:pStyle w:val="ListBullet2"/>
      </w:pPr>
      <w:r w:rsidRPr="00105CB9">
        <w:t>cognitive functions</w:t>
      </w:r>
    </w:p>
    <w:p w:rsidR="00000000" w:rsidRPr="00105CB9" w:rsidP="00105CB9">
      <w:pPr>
        <w:pStyle w:val="ListBullet2"/>
      </w:pPr>
      <w:r w:rsidRPr="00105CB9">
        <w:t>mobility</w:t>
      </w:r>
    </w:p>
    <w:p w:rsidR="00000000" w:rsidRPr="00105CB9" w:rsidP="00105CB9">
      <w:pPr>
        <w:pStyle w:val="ListBullet2"/>
      </w:pPr>
      <w:r w:rsidRPr="00105CB9">
        <w:t>psychiatric conditions</w:t>
      </w:r>
    </w:p>
    <w:p w:rsidR="00000000" w:rsidRPr="00105CB9" w:rsidP="00105CB9">
      <w:pPr>
        <w:pStyle w:val="ListBullet"/>
      </w:pPr>
      <w:r w:rsidRPr="00105CB9">
        <w:t>social construction of disability:</w:t>
      </w:r>
    </w:p>
    <w:p w:rsidR="00000000" w:rsidRPr="00105CB9" w:rsidP="00105CB9">
      <w:pPr>
        <w:pStyle w:val="ListBullet2"/>
      </w:pPr>
      <w:r w:rsidRPr="00105CB9">
        <w:t>effects of restriction of autonomy</w:t>
      </w:r>
    </w:p>
    <w:p w:rsidR="00000000" w:rsidRPr="00105CB9" w:rsidP="00105CB9">
      <w:pPr>
        <w:pStyle w:val="ListBullet2"/>
      </w:pPr>
      <w:r w:rsidRPr="00105CB9">
        <w:t>institutional models</w:t>
      </w:r>
    </w:p>
    <w:p w:rsidR="00000000" w:rsidRPr="00105CB9" w:rsidP="00105CB9">
      <w:pPr>
        <w:pStyle w:val="ListBullet2"/>
      </w:pPr>
      <w:r w:rsidRPr="00105CB9">
        <w:t>med</w:t>
      </w:r>
      <w:r w:rsidRPr="00105CB9">
        <w:t>ical models</w:t>
      </w:r>
    </w:p>
    <w:p w:rsidR="00000000" w:rsidRPr="00105CB9" w:rsidP="00105CB9">
      <w:pPr>
        <w:pStyle w:val="ListBullet2"/>
      </w:pPr>
      <w:r w:rsidRPr="00105CB9">
        <w:t>social, civic and economic inclusion</w:t>
      </w:r>
    </w:p>
    <w:p w:rsidR="00000000" w:rsidRPr="00105CB9" w:rsidP="00105CB9">
      <w:pPr>
        <w:pStyle w:val="ListBullet"/>
      </w:pPr>
      <w:r w:rsidRPr="00105CB9">
        <w:t xml:space="preserve">sources of current information on access and use requirements and solutions </w:t>
      </w:r>
    </w:p>
    <w:p w:rsidR="00000000" w:rsidRPr="00105CB9" w:rsidP="00105CB9">
      <w:pPr>
        <w:pStyle w:val="ListBullet"/>
      </w:pPr>
      <w:r w:rsidRPr="00105CB9">
        <w:t>static and functional anthropometrics:</w:t>
      </w:r>
    </w:p>
    <w:p w:rsidR="00000000" w:rsidRPr="00105CB9" w:rsidP="00105CB9">
      <w:pPr>
        <w:pStyle w:val="ListBullet2"/>
      </w:pPr>
      <w:r w:rsidRPr="00105CB9">
        <w:t>measurements of the body dimensions of people both with and without disabilities</w:t>
      </w:r>
    </w:p>
    <w:p w:rsidR="00000000" w:rsidRPr="00105CB9" w:rsidP="00105CB9">
      <w:pPr>
        <w:pStyle w:val="ListBullet2"/>
      </w:pPr>
      <w:r w:rsidRPr="00105CB9">
        <w:t>reach ranges of people with and without disabilities</w:t>
      </w:r>
    </w:p>
    <w:p w:rsidR="00000000" w:rsidRPr="00105CB9" w:rsidP="00105CB9">
      <w:pPr>
        <w:pStyle w:val="ListBullet2"/>
      </w:pPr>
      <w:r w:rsidRPr="00105CB9">
        <w:t>step and gait of people with and without disabilities, including people who are blind or vision impaired and using a white cane or a guide dog</w:t>
      </w:r>
    </w:p>
    <w:p w:rsidR="00000000" w:rsidRPr="00105CB9" w:rsidP="00105CB9">
      <w:pPr>
        <w:pStyle w:val="ListBullet2"/>
      </w:pPr>
      <w:r w:rsidRPr="00105CB9">
        <w:t xml:space="preserve">visual range capabilities of people with and without vision </w:t>
      </w:r>
      <w:r w:rsidRPr="00105CB9">
        <w:t>loss</w:t>
      </w:r>
    </w:p>
    <w:p w:rsidR="00000000" w:rsidRPr="00105CB9" w:rsidP="00105CB9">
      <w:pPr>
        <w:pStyle w:val="ListBullet"/>
      </w:pPr>
      <w:r w:rsidRPr="00105CB9">
        <w:t>types of disabilities and combinations of disabilities and related range of functional limitations:</w:t>
      </w:r>
    </w:p>
    <w:p w:rsidR="00000000" w:rsidRPr="00105CB9" w:rsidP="00105CB9">
      <w:pPr>
        <w:pStyle w:val="ListBullet2"/>
      </w:pPr>
      <w:r w:rsidRPr="00105CB9">
        <w:t>auditory</w:t>
      </w:r>
    </w:p>
    <w:p w:rsidR="00000000" w:rsidRPr="00105CB9" w:rsidP="00105CB9">
      <w:pPr>
        <w:pStyle w:val="ListBullet2"/>
      </w:pPr>
      <w:r w:rsidRPr="00105CB9">
        <w:t>cognitive</w:t>
      </w:r>
    </w:p>
    <w:p w:rsidR="00000000" w:rsidRPr="00105CB9" w:rsidP="00105CB9">
      <w:pPr>
        <w:pStyle w:val="ListBullet2"/>
      </w:pPr>
      <w:r w:rsidRPr="00105CB9">
        <w:t>mobility</w:t>
      </w:r>
    </w:p>
    <w:p w:rsidR="00000000" w:rsidRPr="00105CB9" w:rsidP="00105CB9">
      <w:pPr>
        <w:pStyle w:val="ListBullet2"/>
      </w:pPr>
      <w:r w:rsidRPr="00105CB9">
        <w:t>muscle wasting and weakness</w:t>
      </w:r>
    </w:p>
    <w:p w:rsidR="00000000" w:rsidRPr="00105CB9" w:rsidP="00105CB9">
      <w:pPr>
        <w:pStyle w:val="ListBullet2"/>
      </w:pPr>
      <w:r w:rsidRPr="00105CB9">
        <w:t>psychiatric</w:t>
      </w:r>
    </w:p>
    <w:p w:rsidR="00000000" w:rsidRPr="00105CB9" w:rsidP="00105CB9">
      <w:pPr>
        <w:pStyle w:val="ListBullet2"/>
      </w:pPr>
      <w:r w:rsidRPr="00105CB9">
        <w:t>vision.</w:t>
      </w:r>
    </w:p>
    <w:p w:rsidR="00000000" w:rsidRPr="00105CB9" w:rsidP="00105CB9">
      <w:pPr>
        <w:pStyle w:val="AllowPageBreak"/>
      </w:pPr>
    </w:p>
    <w:p w:rsidR="00000000" w:rsidRPr="00105CB9" w:rsidP="00105CB9">
      <w:pPr>
        <w:pStyle w:val="Heading1"/>
      </w:pPr>
      <w:bookmarkStart w:id="12" w:name="O_905514"/>
      <w:bookmarkEnd w:id="12"/>
      <w:r w:rsidRPr="00105CB9">
        <w:t>Assessment Conditions</w:t>
      </w:r>
    </w:p>
    <w:p w:rsidR="00000000" w:rsidRPr="00105CB9" w:rsidP="007632A3">
      <w:pPr>
        <w:pStyle w:val="BodyText"/>
      </w:pPr>
      <w:r w:rsidRPr="00105CB9">
        <w:t>Assessors must meet the requiremen</w:t>
      </w:r>
      <w:r w:rsidRPr="00105CB9">
        <w:t xml:space="preserve">ts for assessors contained in the Standards for Registered Training Organisations. </w:t>
      </w:r>
    </w:p>
    <w:p w:rsidR="00000000" w:rsidRPr="00105CB9" w:rsidP="007632A3">
      <w:pPr>
        <w:pStyle w:val="BodyText"/>
      </w:pPr>
      <w:r w:rsidRPr="00105CB9">
        <w:t>Assessment must be conducted in the workplace or a simulated workplace using realistic conditions, materials, activities, responsib</w:t>
      </w:r>
      <w:r w:rsidRPr="00105CB9">
        <w:t>ilities, procedures, safety requirements and environmental considerations.</w:t>
      </w:r>
    </w:p>
    <w:p w:rsidR="00000000" w:rsidRPr="00105CB9" w:rsidP="007632A3">
      <w:pPr>
        <w:pStyle w:val="BodyText"/>
      </w:pPr>
      <w:r w:rsidRPr="00105CB9">
        <w:t>Candidates must have access to documentation, information and technologies required to achieve the performance criteria and performance evidence.</w:t>
      </w:r>
    </w:p>
    <w:p w:rsidR="00000000" w:rsidRPr="00105CB9" w:rsidP="00105CB9">
      <w:pPr>
        <w:pStyle w:val="Heading1"/>
      </w:pPr>
      <w:bookmarkStart w:id="13" w:name="O_905512"/>
      <w:bookmarkEnd w:id="13"/>
      <w:r w:rsidRPr="00105CB9">
        <w:t>Links</w:t>
      </w:r>
    </w:p>
    <w:p w:rsidR="00000000" w:rsidRPr="00105CB9" w:rsidP="007632A3">
      <w:pPr>
        <w:pStyle w:val="BodyText"/>
      </w:pPr>
      <w:r w:rsidRPr="00105CB9">
        <w:t>Companion Vo</w:t>
      </w:r>
      <w:r w:rsidRPr="00105CB9">
        <w:t xml:space="preserve">lume implementation guides are found in VETNet - </w:t>
      </w:r>
      <w:r>
        <w:fldChar w:fldCharType="begin"/>
      </w:r>
      <w:r>
        <w:instrText xml:space="preserve"> HYPERLINK "https://vetnet.gov.au/Pages/TrainingDocs.aspx?q=6f3f9672-30e8-4835-b348-205dfcf13d9b" </w:instrText>
      </w:r>
      <w:r>
        <w:fldChar w:fldCharType="separate"/>
      </w:r>
      <w:r w:rsidRPr="00675210">
        <w:rPr>
          <w:rStyle w:val="Hyperlink"/>
        </w:rPr>
        <w:t>https://vetnet.gov.au/Pages/TrainingDocs.aspx?q=6f3f9672-30e8-4835-b348-205dfcf13d9b</w:t>
      </w:r>
      <w:r>
        <w:fldChar w:fldCharType="end"/>
      </w:r>
    </w:p>
    <w:p w:rsidR="00000000" w:rsidRPr="00105CB9" w:rsidP="00105CB9"/>
    <w:sectPr w:rsidSect="00105CB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C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CB9" w:rsidRPr="007632A3" w:rsidP="007632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C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2A3" w:rsidP="00105C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632A3" w:rsidP="00105CB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7632A3" w:rsidP="00105CB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CB9" w:rsidP="00105CB9">
    <w:pPr>
      <w:pStyle w:val="Footer"/>
      <w:framePr w:wrap="around"/>
    </w:pPr>
    <w:r>
      <w:fldChar w:fldCharType="begin"/>
    </w:r>
    <w:r>
      <w:instrText xml:space="preserve"> DOCPROPERTY  Subject  \* MERGEFORMAT </w:instrText>
    </w:r>
    <w:r>
      <w:fldChar w:fldCharType="separate"/>
    </w:r>
    <w:r w:rsidR="007632A3">
      <w:t>Approved</w:t>
    </w:r>
    <w:r w:rsidR="007632A3">
      <w:fldChar w:fldCharType="end"/>
    </w:r>
    <w:r>
      <w:tab/>
      <w:t xml:space="preserve">Page </w:t>
    </w:r>
    <w:r>
      <w:fldChar w:fldCharType="begin"/>
    </w:r>
    <w:r>
      <w:instrText xml:space="preserve"> PAGE  \* Arabic  \* MERGEFORMAT </w:instrText>
    </w:r>
    <w:r>
      <w:fldChar w:fldCharType="separate"/>
    </w:r>
    <w:r w:rsidR="007632A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632A3">
      <w:rPr>
        <w:noProof/>
      </w:rPr>
      <w:t>4</w:t>
    </w:r>
    <w:r>
      <w:rPr>
        <w:noProof/>
      </w:rPr>
      <w:fldChar w:fldCharType="end"/>
    </w:r>
  </w:p>
  <w:p w:rsidR="00105CB9" w:rsidP="00105CB9">
    <w:pPr>
      <w:pStyle w:val="Footer"/>
      <w:framePr w:wrap="around"/>
    </w:pPr>
    <w:r>
      <w:t xml:space="preserve">© Commonwealth of Australia, </w:t>
    </w:r>
    <w:r>
      <w:fldChar w:fldCharType="begin"/>
    </w:r>
    <w:r>
      <w:instrText xml:space="preserve"> DATE  \@ "yyyy"  \* MERGEFORMAT </w:instrText>
    </w:r>
    <w:r>
      <w:fldChar w:fldCharType="separate"/>
    </w:r>
    <w:r w:rsidR="007632A3">
      <w:rPr>
        <w:noProof/>
      </w:rPr>
      <w:t>2025</w:t>
    </w:r>
    <w:r>
      <w:fldChar w:fldCharType="end"/>
    </w:r>
    <w:r>
      <w:tab/>
    </w:r>
    <w:r>
      <w:fldChar w:fldCharType="begin"/>
    </w:r>
    <w:r>
      <w:instrText xml:space="preserve"> DOCPROPERTY  Author  \* MERGEFORMAT </w:instrText>
    </w:r>
    <w:r>
      <w:fldChar w:fldCharType="separate"/>
    </w:r>
    <w:r w:rsidR="007632A3">
      <w:t>BuildSkills Australia</w:t>
    </w:r>
    <w:r w:rsidR="007632A3">
      <w:fldChar w:fldCharType="end"/>
    </w:r>
  </w:p>
  <w:p w:rsidR="00105CB9" w:rsidP="00105C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C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2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5CB9" w:rsidRPr="007632A3" w:rsidP="007632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C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2A3" w:rsidRPr="002D2AF8" w:rsidP="00105CB9">
    <w:pPr>
      <w:pStyle w:val="Header"/>
      <w:framePr w:wrap="around"/>
    </w:pPr>
    <w:r>
      <w:fldChar w:fldCharType="begin"/>
    </w:r>
    <w:r>
      <w:instrText xml:space="preserve"> TITLE   \* MERGEFORMAT </w:instrText>
    </w:r>
    <w:r>
      <w:fldChar w:fldCharType="separate"/>
    </w:r>
    <w:r>
      <w:t>CPPACC8001 Research and analyse access and use requirements for people with diverse disabilities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632A3" w:rsidP="00105CB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CB9" w:rsidRPr="002D2AF8" w:rsidP="00105CB9">
    <w:pPr>
      <w:pStyle w:val="Header"/>
      <w:framePr w:wrap="around"/>
    </w:pPr>
    <w:r>
      <w:fldChar w:fldCharType="begin"/>
    </w:r>
    <w:r>
      <w:instrText xml:space="preserve"> TITLE   \* MERGEFORMAT </w:instrText>
    </w:r>
    <w:r>
      <w:fldChar w:fldCharType="separate"/>
    </w:r>
    <w:r w:rsidR="007632A3">
      <w:t>CPPACC8001 Research and analyse access and use requirements for people with diverse disabilities</w:t>
    </w:r>
    <w:r w:rsidR="007632A3">
      <w:fldChar w:fldCharType="end"/>
    </w:r>
    <w:r>
      <w:tab/>
      <w:t xml:space="preserve">Date this document was generated: </w:t>
    </w:r>
    <w:r>
      <w:fldChar w:fldCharType="begin"/>
    </w:r>
    <w:r>
      <w:instrText xml:space="preserve"> CREATEDATE  \@ "d MMMM yyyy"  \* MERGEFORMAT </w:instrText>
    </w:r>
    <w:r>
      <w:fldChar w:fldCharType="separate"/>
    </w:r>
    <w:r w:rsidR="007632A3">
      <w:rPr>
        <w:noProof/>
      </w:rPr>
      <w:t>2 March 2025</w:t>
    </w:r>
    <w:r>
      <w:fldChar w:fldCharType="end"/>
    </w:r>
  </w:p>
  <w:p w:rsidR="00105CB9" w:rsidP="00105C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F815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5EE6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FEE6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5C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5CB9"/>
    <w:pPr>
      <w:spacing w:before="360" w:after="60"/>
      <w:outlineLvl w:val="0"/>
    </w:pPr>
    <w:rPr>
      <w:sz w:val="32"/>
    </w:rPr>
  </w:style>
  <w:style w:type="paragraph" w:styleId="Heading2">
    <w:name w:val="heading 2"/>
    <w:basedOn w:val="HeadingBase"/>
    <w:next w:val="BodyText"/>
    <w:link w:val="Heading2Char"/>
    <w:qFormat/>
    <w:rsid w:val="00105CB9"/>
    <w:pPr>
      <w:keepLines/>
      <w:spacing w:before="240" w:after="120"/>
      <w:outlineLvl w:val="1"/>
    </w:pPr>
    <w:rPr>
      <w:sz w:val="28"/>
      <w:szCs w:val="40"/>
    </w:rPr>
  </w:style>
  <w:style w:type="paragraph" w:styleId="Heading3">
    <w:name w:val="heading 3"/>
    <w:basedOn w:val="HeadingBase"/>
    <w:next w:val="BodyText"/>
    <w:link w:val="Heading3Char"/>
    <w:qFormat/>
    <w:rsid w:val="00105CB9"/>
    <w:pPr>
      <w:spacing w:before="180" w:after="120"/>
      <w:outlineLvl w:val="2"/>
    </w:pPr>
    <w:rPr>
      <w:spacing w:val="-10"/>
      <w:kern w:val="32"/>
    </w:rPr>
  </w:style>
  <w:style w:type="paragraph" w:styleId="Heading4">
    <w:name w:val="heading 4"/>
    <w:basedOn w:val="HeadingBase"/>
    <w:next w:val="BodyText"/>
    <w:link w:val="Heading4Char"/>
    <w:qFormat/>
    <w:rsid w:val="00105CB9"/>
    <w:pPr>
      <w:spacing w:before="160" w:after="120"/>
      <w:outlineLvl w:val="3"/>
    </w:pPr>
    <w:rPr>
      <w:sz w:val="22"/>
    </w:rPr>
  </w:style>
  <w:style w:type="paragraph" w:styleId="Heading5">
    <w:name w:val="heading 5"/>
    <w:basedOn w:val="HeadingBase"/>
    <w:next w:val="Normal"/>
    <w:link w:val="Heading5Char"/>
    <w:qFormat/>
    <w:rsid w:val="00105CB9"/>
    <w:pPr>
      <w:spacing w:before="80"/>
      <w:outlineLvl w:val="4"/>
    </w:pPr>
    <w:rPr>
      <w:color w:val="918585"/>
      <w:sz w:val="20"/>
    </w:rPr>
  </w:style>
  <w:style w:type="paragraph" w:styleId="Heading6">
    <w:name w:val="heading 6"/>
    <w:basedOn w:val="HeadingBase"/>
    <w:next w:val="Normal"/>
    <w:link w:val="Heading6Char"/>
    <w:qFormat/>
    <w:rsid w:val="00105CB9"/>
    <w:pPr>
      <w:spacing w:before="60"/>
      <w:outlineLvl w:val="5"/>
    </w:pPr>
    <w:rPr>
      <w:color w:val="918585"/>
      <w:sz w:val="20"/>
    </w:rPr>
  </w:style>
  <w:style w:type="paragraph" w:styleId="Heading7">
    <w:name w:val="heading 7"/>
    <w:basedOn w:val="Normal"/>
    <w:next w:val="Normal"/>
    <w:link w:val="Heading7Char"/>
    <w:qFormat/>
    <w:rsid w:val="00105CB9"/>
    <w:pPr>
      <w:ind w:left="720"/>
      <w:outlineLvl w:val="6"/>
    </w:pPr>
    <w:rPr>
      <w:i/>
    </w:rPr>
  </w:style>
  <w:style w:type="paragraph" w:styleId="Heading8">
    <w:name w:val="heading 8"/>
    <w:basedOn w:val="Normal"/>
    <w:next w:val="Normal"/>
    <w:link w:val="Heading8Char"/>
    <w:qFormat/>
    <w:rsid w:val="00105CB9"/>
    <w:pPr>
      <w:ind w:left="720"/>
      <w:outlineLvl w:val="7"/>
    </w:pPr>
    <w:rPr>
      <w:i/>
    </w:rPr>
  </w:style>
  <w:style w:type="paragraph" w:styleId="Heading9">
    <w:name w:val="heading 9"/>
    <w:basedOn w:val="Normal"/>
    <w:next w:val="Normal"/>
    <w:link w:val="Heading9Char"/>
    <w:qFormat/>
    <w:rsid w:val="00105CB9"/>
    <w:pPr>
      <w:ind w:left="720"/>
      <w:outlineLvl w:val="8"/>
    </w:pPr>
    <w:rPr>
      <w:i/>
    </w:rPr>
  </w:style>
  <w:style w:type="character" w:default="1" w:styleId="DefaultParagraphFont">
    <w:name w:val="Default Paragraph Font"/>
    <w:uiPriority w:val="1"/>
    <w:unhideWhenUsed/>
    <w:rsid w:val="00105C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5CB9"/>
  </w:style>
  <w:style w:type="character" w:customStyle="1" w:styleId="Heading1Char">
    <w:name w:val="Heading 1 Char"/>
    <w:basedOn w:val="DefaultParagraphFont"/>
    <w:link w:val="Heading1"/>
    <w:rsid w:val="00105CB9"/>
    <w:rPr>
      <w:rFonts w:ascii="Times New Roman" w:eastAsia="Times New Roman" w:hAnsi="Times New Roman" w:cs="Times New Roman"/>
      <w:b/>
      <w:sz w:val="32"/>
      <w:szCs w:val="20"/>
      <w:lang w:eastAsia="en-US"/>
    </w:rPr>
  </w:style>
  <w:style w:type="paragraph" w:styleId="BodyText">
    <w:name w:val="Body Text"/>
    <w:basedOn w:val="Normal"/>
    <w:link w:val="BodyTextChar"/>
    <w:rsid w:val="00105C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5CB9"/>
    <w:rPr>
      <w:rFonts w:ascii="Times New Roman" w:eastAsia="Times New Roman" w:hAnsi="Times New Roman" w:cs="Times New Roman"/>
      <w:sz w:val="24"/>
      <w:lang w:eastAsia="en-US"/>
    </w:rPr>
  </w:style>
  <w:style w:type="paragraph" w:styleId="ListBullet">
    <w:name w:val="List Bullet"/>
    <w:basedOn w:val="List"/>
    <w:rsid w:val="00105CB9"/>
    <w:pPr>
      <w:numPr>
        <w:numId w:val="12"/>
      </w:numPr>
      <w:tabs>
        <w:tab w:val="clear" w:pos="340"/>
      </w:tabs>
      <w:spacing w:before="40" w:after="40"/>
    </w:pPr>
  </w:style>
  <w:style w:type="paragraph" w:styleId="ListBullet2">
    <w:name w:val="List Bullet 2"/>
    <w:basedOn w:val="List2"/>
    <w:rsid w:val="00105CB9"/>
    <w:pPr>
      <w:numPr>
        <w:numId w:val="13"/>
      </w:numPr>
      <w:tabs>
        <w:tab w:val="clear" w:pos="680"/>
      </w:tabs>
    </w:pPr>
  </w:style>
  <w:style w:type="paragraph" w:customStyle="1" w:styleId="SuperHeading">
    <w:name w:val="SuperHeading"/>
    <w:basedOn w:val="Normal"/>
    <w:rsid w:val="00105CB9"/>
    <w:pPr>
      <w:spacing w:before="240" w:after="120"/>
      <w:outlineLvl w:val="0"/>
    </w:pPr>
    <w:rPr>
      <w:rFonts w:ascii="Times New Roman" w:hAnsi="Times New Roman"/>
      <w:b/>
      <w:sz w:val="32"/>
    </w:rPr>
  </w:style>
  <w:style w:type="paragraph" w:customStyle="1" w:styleId="AllowPageBreak">
    <w:name w:val="AllowPageBreak"/>
    <w:rsid w:val="00105C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05C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5C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5C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5C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5C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5C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5C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5CB9"/>
    <w:rPr>
      <w:rFonts w:ascii="Courier New" w:eastAsia="Times New Roman" w:hAnsi="Courier New" w:cs="Times New Roman"/>
      <w:i/>
      <w:szCs w:val="20"/>
      <w:lang w:eastAsia="en-US"/>
    </w:rPr>
  </w:style>
  <w:style w:type="paragraph" w:customStyle="1" w:styleId="HeadingBase">
    <w:name w:val="Heading Base"/>
    <w:rsid w:val="00105C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5CB9"/>
    <w:pPr>
      <w:tabs>
        <w:tab w:val="right" w:leader="dot" w:pos="9072"/>
      </w:tabs>
      <w:ind w:left="567"/>
    </w:pPr>
    <w:rPr>
      <w:szCs w:val="22"/>
    </w:rPr>
  </w:style>
  <w:style w:type="paragraph" w:customStyle="1" w:styleId="TOCBase">
    <w:name w:val="TOC Base"/>
    <w:rsid w:val="00105C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5CB9"/>
    <w:pPr>
      <w:tabs>
        <w:tab w:val="right" w:leader="dot" w:pos="9072"/>
      </w:tabs>
      <w:spacing w:before="40" w:after="40"/>
      <w:ind w:left="284"/>
    </w:pPr>
    <w:rPr>
      <w:rFonts w:ascii="Times New Roman" w:hAnsi="Times New Roman"/>
    </w:rPr>
  </w:style>
  <w:style w:type="paragraph" w:styleId="TOC1">
    <w:name w:val="toc 1"/>
    <w:basedOn w:val="TOCBase"/>
    <w:next w:val="Normal"/>
    <w:rsid w:val="00105C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5C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5CB9"/>
    <w:rPr>
      <w:rFonts w:ascii="Times New Roman" w:eastAsia="Times New Roman" w:hAnsi="Times New Roman" w:cs="Times New Roman"/>
      <w:sz w:val="16"/>
      <w:lang w:eastAsia="en-US"/>
    </w:rPr>
  </w:style>
  <w:style w:type="paragraph" w:styleId="Title">
    <w:name w:val="Title"/>
    <w:basedOn w:val="HeadingBase"/>
    <w:link w:val="TitleChar"/>
    <w:qFormat/>
    <w:rsid w:val="00105CB9"/>
    <w:pPr>
      <w:spacing w:before="5040"/>
      <w:jc w:val="center"/>
    </w:pPr>
    <w:rPr>
      <w:sz w:val="48"/>
      <w:szCs w:val="72"/>
      <w:lang w:val="en-US"/>
    </w:rPr>
  </w:style>
  <w:style w:type="character" w:customStyle="1" w:styleId="TitleChar">
    <w:name w:val="Title Char"/>
    <w:basedOn w:val="DefaultParagraphFont"/>
    <w:link w:val="Title"/>
    <w:rsid w:val="00105C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5CB9"/>
    <w:pPr>
      <w:tabs>
        <w:tab w:val="left" w:pos="3600"/>
        <w:tab w:val="left" w:pos="3958"/>
      </w:tabs>
    </w:pPr>
  </w:style>
  <w:style w:type="paragraph" w:styleId="List">
    <w:name w:val="List"/>
    <w:basedOn w:val="BodyText"/>
    <w:next w:val="BodyText"/>
    <w:rsid w:val="00105CB9"/>
    <w:pPr>
      <w:tabs>
        <w:tab w:val="left" w:pos="340"/>
      </w:tabs>
      <w:spacing w:before="60" w:after="60"/>
      <w:ind w:left="340" w:hanging="340"/>
    </w:pPr>
  </w:style>
  <w:style w:type="paragraph" w:customStyle="1" w:styleId="Note">
    <w:name w:val="Note"/>
    <w:basedOn w:val="BodyText"/>
    <w:rsid w:val="00105CB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05CB9"/>
    <w:rPr>
      <w:b/>
      <w:spacing w:val="0"/>
    </w:rPr>
  </w:style>
  <w:style w:type="paragraph" w:customStyle="1" w:styleId="SuperTitle">
    <w:name w:val="SuperTitle"/>
    <w:basedOn w:val="Title"/>
    <w:rsid w:val="00105CB9"/>
    <w:pPr>
      <w:framePr w:wrap="auto" w:hAnchor="text" w:y="6049"/>
    </w:pPr>
    <w:rPr>
      <w:color w:val="000000"/>
      <w:sz w:val="40"/>
    </w:rPr>
  </w:style>
  <w:style w:type="paragraph" w:customStyle="1" w:styleId="TOCTitle">
    <w:name w:val="TOCTitle"/>
    <w:basedOn w:val="Heading1"/>
    <w:rsid w:val="00105CB9"/>
    <w:pPr>
      <w:spacing w:after="240"/>
      <w:jc w:val="center"/>
      <w:outlineLvl w:val="9"/>
    </w:pPr>
    <w:rPr>
      <w:caps/>
    </w:rPr>
  </w:style>
  <w:style w:type="paragraph" w:customStyle="1" w:styleId="Version">
    <w:name w:val="Version"/>
    <w:rsid w:val="00105C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5CB9"/>
    <w:pPr>
      <w:keepNext w:val="0"/>
      <w:tabs>
        <w:tab w:val="right" w:pos="4176"/>
      </w:tabs>
      <w:ind w:left="198" w:hanging="198"/>
    </w:pPr>
    <w:rPr>
      <w:rFonts w:ascii="Garamond" w:hAnsi="Garamond"/>
    </w:rPr>
  </w:style>
  <w:style w:type="paragraph" w:styleId="IndexHeading">
    <w:name w:val="index heading"/>
    <w:basedOn w:val="Normal"/>
    <w:next w:val="Index1"/>
    <w:semiHidden/>
    <w:rsid w:val="00105CB9"/>
    <w:pPr>
      <w:spacing w:before="120" w:after="120"/>
    </w:pPr>
    <w:rPr>
      <w:rFonts w:ascii="Arial" w:hAnsi="Arial"/>
      <w:b/>
      <w:color w:val="918585"/>
      <w:sz w:val="24"/>
    </w:rPr>
  </w:style>
  <w:style w:type="paragraph" w:styleId="Header">
    <w:name w:val="header"/>
    <w:basedOn w:val="Normal"/>
    <w:link w:val="HeaderChar"/>
    <w:rsid w:val="00105C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5CB9"/>
    <w:rPr>
      <w:rFonts w:ascii="Times New Roman" w:eastAsia="Times New Roman" w:hAnsi="Times New Roman" w:cs="Times New Roman"/>
      <w:sz w:val="16"/>
      <w:szCs w:val="20"/>
      <w:lang w:val="en-GB" w:eastAsia="en-US"/>
    </w:rPr>
  </w:style>
  <w:style w:type="paragraph" w:customStyle="1" w:styleId="Chapter">
    <w:name w:val="Chapter"/>
    <w:basedOn w:val="Normal"/>
    <w:rsid w:val="00105CB9"/>
    <w:pPr>
      <w:spacing w:before="240"/>
    </w:pPr>
    <w:rPr>
      <w:rFonts w:ascii="Times New Roman" w:hAnsi="Times New Roman"/>
      <w:smallCaps/>
      <w:spacing w:val="80"/>
      <w:sz w:val="28"/>
    </w:rPr>
  </w:style>
  <w:style w:type="paragraph" w:customStyle="1" w:styleId="InChapter">
    <w:name w:val="InChapter"/>
    <w:basedOn w:val="Heading3"/>
    <w:rsid w:val="00105CB9"/>
    <w:pPr>
      <w:spacing w:after="240"/>
      <w:outlineLvl w:val="9"/>
    </w:pPr>
    <w:rPr>
      <w:noProof/>
    </w:rPr>
  </w:style>
  <w:style w:type="paragraph" w:styleId="Index2">
    <w:name w:val="index 2"/>
    <w:basedOn w:val="Normal"/>
    <w:next w:val="Normal"/>
    <w:semiHidden/>
    <w:rsid w:val="00105CB9"/>
    <w:pPr>
      <w:tabs>
        <w:tab w:val="right" w:pos="4176"/>
      </w:tabs>
      <w:ind w:left="568" w:hanging="284"/>
    </w:pPr>
    <w:rPr>
      <w:rFonts w:ascii="Garamond" w:hAnsi="Garamond"/>
    </w:rPr>
  </w:style>
  <w:style w:type="paragraph" w:customStyle="1" w:styleId="Byline">
    <w:name w:val="Byline"/>
    <w:rsid w:val="00105C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5CB9"/>
    <w:pPr>
      <w:tabs>
        <w:tab w:val="clear" w:pos="3600"/>
        <w:tab w:val="clear" w:pos="3958"/>
      </w:tabs>
      <w:jc w:val="right"/>
    </w:pPr>
  </w:style>
  <w:style w:type="character" w:styleId="Emphasis">
    <w:name w:val="Emphasis"/>
    <w:basedOn w:val="DefaultParagraphFont"/>
    <w:qFormat/>
    <w:rsid w:val="00105CB9"/>
    <w:rPr>
      <w:i/>
    </w:rPr>
  </w:style>
  <w:style w:type="paragraph" w:styleId="Caption">
    <w:name w:val="caption"/>
    <w:basedOn w:val="BodyText"/>
    <w:next w:val="Normal"/>
    <w:qFormat/>
    <w:rsid w:val="00105CB9"/>
    <w:pPr>
      <w:framePr w:w="2268" w:hSpace="181" w:vSpace="181" w:wrap="around" w:vAnchor="text" w:hAnchor="page" w:x="1135" w:y="285" w:anchorLock="1"/>
    </w:pPr>
    <w:rPr>
      <w:i/>
    </w:rPr>
  </w:style>
  <w:style w:type="paragraph" w:customStyle="1" w:styleId="MiniTOCTitle">
    <w:name w:val="MiniTOCTitle"/>
    <w:basedOn w:val="Heading4"/>
    <w:rsid w:val="00105CB9"/>
    <w:pPr>
      <w:spacing w:before="240"/>
      <w:outlineLvl w:val="9"/>
    </w:pPr>
    <w:rPr>
      <w:noProof/>
      <w:sz w:val="24"/>
    </w:rPr>
  </w:style>
  <w:style w:type="paragraph" w:customStyle="1" w:styleId="MiniTOCItem">
    <w:name w:val="MiniTOCItem"/>
    <w:basedOn w:val="ListBullet"/>
    <w:rsid w:val="00105CB9"/>
    <w:pPr>
      <w:numPr>
        <w:numId w:val="0"/>
      </w:numPr>
      <w:tabs>
        <w:tab w:val="right" w:leader="dot" w:pos="6521"/>
      </w:tabs>
      <w:spacing w:before="0" w:after="0"/>
    </w:pPr>
  </w:style>
  <w:style w:type="paragraph" w:customStyle="1" w:styleId="TOFTitle">
    <w:name w:val="TOFTitle"/>
    <w:basedOn w:val="TOCTitle"/>
    <w:rsid w:val="00105CB9"/>
  </w:style>
  <w:style w:type="paragraph" w:styleId="TableofFigures">
    <w:name w:val="table of figures"/>
    <w:basedOn w:val="Normal"/>
    <w:next w:val="Normal"/>
    <w:semiHidden/>
    <w:rsid w:val="00105CB9"/>
    <w:pPr>
      <w:tabs>
        <w:tab w:val="right" w:leader="dot" w:pos="9072"/>
      </w:tabs>
      <w:ind w:left="970" w:hanging="403"/>
    </w:pPr>
    <w:rPr>
      <w:rFonts w:ascii="Times New Roman" w:hAnsi="Times New Roman"/>
      <w:b/>
    </w:rPr>
  </w:style>
  <w:style w:type="paragraph" w:styleId="ListNumber">
    <w:name w:val="List Number"/>
    <w:basedOn w:val="List"/>
    <w:rsid w:val="00105CB9"/>
    <w:pPr>
      <w:numPr>
        <w:numId w:val="15"/>
      </w:numPr>
      <w:tabs>
        <w:tab w:val="clear" w:pos="340"/>
      </w:tabs>
    </w:pPr>
  </w:style>
  <w:style w:type="character" w:customStyle="1" w:styleId="WingdingSymbols">
    <w:name w:val="Wingding Symbols"/>
    <w:rsid w:val="00105CB9"/>
    <w:rPr>
      <w:rFonts w:ascii="Wingdings" w:hAnsi="Wingdings"/>
    </w:rPr>
  </w:style>
  <w:style w:type="paragraph" w:customStyle="1" w:styleId="TableHeading">
    <w:name w:val="Table Heading"/>
    <w:basedOn w:val="HeadingBase"/>
    <w:rsid w:val="00105CB9"/>
    <w:pPr>
      <w:keepLines/>
      <w:pBdr>
        <w:bottom w:val="single" w:sz="6" w:space="1" w:color="918585"/>
      </w:pBdr>
      <w:spacing w:before="240"/>
    </w:pPr>
  </w:style>
  <w:style w:type="character" w:customStyle="1" w:styleId="HotSpot">
    <w:name w:val="HotSpot"/>
    <w:rsid w:val="00105CB9"/>
    <w:rPr>
      <w:color w:val="0033CC"/>
      <w:u w:val="none"/>
    </w:rPr>
  </w:style>
  <w:style w:type="paragraph" w:customStyle="1" w:styleId="BodyTextRight">
    <w:name w:val="Body Text Right"/>
    <w:basedOn w:val="BodyText"/>
    <w:rsid w:val="00105CB9"/>
    <w:pPr>
      <w:spacing w:before="0" w:after="0"/>
      <w:jc w:val="right"/>
    </w:pPr>
  </w:style>
  <w:style w:type="paragraph" w:styleId="Index3">
    <w:name w:val="index 3"/>
    <w:basedOn w:val="ListNumber2"/>
    <w:next w:val="Normal"/>
    <w:semiHidden/>
    <w:rsid w:val="00105CB9"/>
    <w:pPr>
      <w:numPr>
        <w:numId w:val="0"/>
      </w:numPr>
      <w:tabs>
        <w:tab w:val="right" w:leader="dot" w:pos="4176"/>
      </w:tabs>
    </w:pPr>
  </w:style>
  <w:style w:type="paragraph" w:styleId="ListNumber2">
    <w:name w:val="List Number 2"/>
    <w:basedOn w:val="List2"/>
    <w:rsid w:val="00105CB9"/>
    <w:pPr>
      <w:numPr>
        <w:numId w:val="10"/>
      </w:numPr>
      <w:tabs>
        <w:tab w:val="clear" w:pos="1060"/>
      </w:tabs>
    </w:pPr>
  </w:style>
  <w:style w:type="paragraph" w:customStyle="1" w:styleId="MarginNote">
    <w:name w:val="Margin Note"/>
    <w:basedOn w:val="BodyText"/>
    <w:rsid w:val="00105C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5C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5C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5CB9"/>
    <w:rPr>
      <w:sz w:val="32"/>
    </w:rPr>
  </w:style>
  <w:style w:type="paragraph" w:customStyle="1" w:styleId="HeadingProcedure">
    <w:name w:val="Heading Procedure"/>
    <w:basedOn w:val="HeadingBase"/>
    <w:next w:val="Normal"/>
    <w:rsid w:val="00105CB9"/>
    <w:pPr>
      <w:tabs>
        <w:tab w:val="left" w:pos="0"/>
      </w:tabs>
      <w:spacing w:before="120" w:after="60"/>
    </w:pPr>
    <w:rPr>
      <w:i/>
      <w:color w:val="918585"/>
      <w:sz w:val="22"/>
    </w:rPr>
  </w:style>
  <w:style w:type="paragraph" w:customStyle="1" w:styleId="TableBodyText">
    <w:name w:val="Table Body Text"/>
    <w:basedOn w:val="BodyText"/>
    <w:rsid w:val="00105CB9"/>
    <w:pPr>
      <w:spacing w:before="60" w:after="60"/>
    </w:pPr>
  </w:style>
  <w:style w:type="paragraph" w:styleId="ListContinue">
    <w:name w:val="List Continue"/>
    <w:basedOn w:val="List"/>
    <w:rsid w:val="00105CB9"/>
    <w:pPr>
      <w:ind w:firstLine="0"/>
    </w:pPr>
  </w:style>
  <w:style w:type="paragraph" w:customStyle="1" w:styleId="ListNote">
    <w:name w:val="List Note"/>
    <w:basedOn w:val="List"/>
    <w:rsid w:val="00105CB9"/>
    <w:pPr>
      <w:pBdr>
        <w:top w:val="single" w:sz="6" w:space="2" w:color="918585"/>
        <w:bottom w:val="single" w:sz="6" w:space="2" w:color="918585"/>
      </w:pBdr>
      <w:tabs>
        <w:tab w:val="left" w:pos="1021"/>
      </w:tabs>
      <w:ind w:firstLine="0"/>
    </w:pPr>
  </w:style>
  <w:style w:type="paragraph" w:customStyle="1" w:styleId="Warning">
    <w:name w:val="Warning"/>
    <w:basedOn w:val="BodyText"/>
    <w:rsid w:val="00105CB9"/>
    <w:pPr>
      <w:shd w:val="clear" w:color="auto" w:fill="D9D9D9"/>
      <w:tabs>
        <w:tab w:val="left" w:pos="992"/>
      </w:tabs>
      <w:ind w:left="119" w:right="119"/>
    </w:pPr>
    <w:rPr>
      <w:sz w:val="20"/>
    </w:rPr>
  </w:style>
  <w:style w:type="paragraph" w:customStyle="1" w:styleId="MarginIcons">
    <w:name w:val="Margin Icons"/>
    <w:basedOn w:val="BodyText"/>
    <w:rsid w:val="00105C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5CB9"/>
    <w:rPr>
      <w:rFonts w:ascii="Courier New" w:hAnsi="Courier New"/>
    </w:rPr>
  </w:style>
  <w:style w:type="paragraph" w:customStyle="1" w:styleId="NoteBullet">
    <w:name w:val="Note Bullet"/>
    <w:basedOn w:val="Note"/>
    <w:rsid w:val="00105CB9"/>
    <w:pPr>
      <w:tabs>
        <w:tab w:val="clear" w:pos="680"/>
      </w:tabs>
      <w:spacing w:before="60" w:after="60"/>
    </w:pPr>
  </w:style>
  <w:style w:type="paragraph" w:customStyle="1" w:styleId="SubHeading2">
    <w:name w:val="SubHeading2"/>
    <w:basedOn w:val="HeadingBase"/>
    <w:rsid w:val="00105CB9"/>
    <w:pPr>
      <w:spacing w:before="240" w:after="60"/>
    </w:pPr>
    <w:rPr>
      <w:sz w:val="20"/>
    </w:rPr>
  </w:style>
  <w:style w:type="paragraph" w:customStyle="1" w:styleId="SubHeading1">
    <w:name w:val="SubHeading1"/>
    <w:basedOn w:val="HeadingBase"/>
    <w:rsid w:val="00105CB9"/>
    <w:pPr>
      <w:spacing w:before="240" w:after="60"/>
    </w:pPr>
    <w:rPr>
      <w:color w:val="918585"/>
      <w:sz w:val="22"/>
    </w:rPr>
  </w:style>
  <w:style w:type="paragraph" w:customStyle="1" w:styleId="SideHeading">
    <w:name w:val="Side Heading"/>
    <w:basedOn w:val="HeadingBase"/>
    <w:rsid w:val="00105C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5CB9"/>
    <w:pPr>
      <w:tabs>
        <w:tab w:val="num" w:pos="360"/>
      </w:tabs>
    </w:pPr>
  </w:style>
  <w:style w:type="paragraph" w:styleId="PlainText">
    <w:name w:val="Plain Text"/>
    <w:basedOn w:val="Normal"/>
    <w:link w:val="PlainTextChar"/>
    <w:rsid w:val="00105CB9"/>
    <w:rPr>
      <w:sz w:val="20"/>
    </w:rPr>
  </w:style>
  <w:style w:type="character" w:customStyle="1" w:styleId="PlainTextChar">
    <w:name w:val="Plain Text Char"/>
    <w:basedOn w:val="DefaultParagraphFont"/>
    <w:link w:val="PlainText"/>
    <w:rsid w:val="00105CB9"/>
    <w:rPr>
      <w:rFonts w:ascii="Courier New" w:eastAsia="Times New Roman" w:hAnsi="Courier New" w:cs="Times New Roman"/>
      <w:sz w:val="20"/>
      <w:szCs w:val="20"/>
      <w:lang w:eastAsia="en-US"/>
    </w:rPr>
  </w:style>
  <w:style w:type="character" w:customStyle="1" w:styleId="MenuOption">
    <w:name w:val="Menu Option"/>
    <w:basedOn w:val="DefaultParagraphFont"/>
    <w:rsid w:val="00105CB9"/>
    <w:rPr>
      <w:b/>
      <w:smallCaps/>
    </w:rPr>
  </w:style>
  <w:style w:type="paragraph" w:customStyle="1" w:styleId="TableListNumber">
    <w:name w:val="Table List Number"/>
    <w:basedOn w:val="ListNumber"/>
    <w:rsid w:val="00105CB9"/>
    <w:pPr>
      <w:numPr>
        <w:numId w:val="0"/>
      </w:numPr>
    </w:pPr>
  </w:style>
  <w:style w:type="paragraph" w:styleId="TOC4">
    <w:name w:val="toc 4"/>
    <w:basedOn w:val="TOCBase"/>
    <w:next w:val="Normal"/>
    <w:semiHidden/>
    <w:rsid w:val="00105CB9"/>
    <w:pPr>
      <w:tabs>
        <w:tab w:val="right" w:leader="dot" w:pos="9071"/>
      </w:tabs>
      <w:ind w:left="1701"/>
    </w:pPr>
  </w:style>
  <w:style w:type="paragraph" w:customStyle="1" w:styleId="ListAlpha">
    <w:name w:val="List Alpha"/>
    <w:basedOn w:val="List"/>
    <w:rsid w:val="00105CB9"/>
    <w:pPr>
      <w:numPr>
        <w:numId w:val="9"/>
      </w:numPr>
    </w:pPr>
  </w:style>
  <w:style w:type="paragraph" w:customStyle="1" w:styleId="ListAlpha2">
    <w:name w:val="List Alpha 2"/>
    <w:basedOn w:val="List2"/>
    <w:rsid w:val="00105CB9"/>
    <w:pPr>
      <w:numPr>
        <w:numId w:val="8"/>
      </w:numPr>
    </w:pPr>
  </w:style>
  <w:style w:type="paragraph" w:styleId="List2">
    <w:name w:val="List 2"/>
    <w:basedOn w:val="BodyText"/>
    <w:rsid w:val="00105CB9"/>
    <w:pPr>
      <w:tabs>
        <w:tab w:val="left" w:pos="680"/>
      </w:tabs>
      <w:spacing w:before="60" w:after="60"/>
      <w:ind w:left="680" w:hanging="340"/>
    </w:pPr>
  </w:style>
  <w:style w:type="paragraph" w:styleId="List3">
    <w:name w:val="List 3"/>
    <w:basedOn w:val="BodyText"/>
    <w:rsid w:val="00105CB9"/>
    <w:pPr>
      <w:tabs>
        <w:tab w:val="left" w:pos="1021"/>
      </w:tabs>
      <w:spacing w:before="60" w:after="60"/>
      <w:ind w:left="1020" w:hanging="340"/>
    </w:pPr>
  </w:style>
  <w:style w:type="paragraph" w:styleId="List4">
    <w:name w:val="List 4"/>
    <w:basedOn w:val="BodyText"/>
    <w:rsid w:val="00105CB9"/>
    <w:pPr>
      <w:tabs>
        <w:tab w:val="left" w:pos="1361"/>
      </w:tabs>
      <w:spacing w:before="60" w:after="60"/>
      <w:ind w:left="1361" w:hanging="340"/>
    </w:pPr>
  </w:style>
  <w:style w:type="paragraph" w:styleId="List5">
    <w:name w:val="List 5"/>
    <w:basedOn w:val="BodyText"/>
    <w:rsid w:val="00105CB9"/>
    <w:pPr>
      <w:tabs>
        <w:tab w:val="left" w:pos="1701"/>
      </w:tabs>
      <w:spacing w:before="60" w:after="60"/>
      <w:ind w:left="1701" w:hanging="340"/>
    </w:pPr>
  </w:style>
  <w:style w:type="paragraph" w:styleId="ListBullet3">
    <w:name w:val="List Bullet 3"/>
    <w:basedOn w:val="List3"/>
    <w:rsid w:val="00105CB9"/>
    <w:pPr>
      <w:numPr>
        <w:numId w:val="14"/>
      </w:numPr>
      <w:tabs>
        <w:tab w:val="clear" w:pos="1021"/>
      </w:tabs>
      <w:ind w:left="1037" w:hanging="357"/>
    </w:pPr>
  </w:style>
  <w:style w:type="paragraph" w:styleId="ListBullet4">
    <w:name w:val="List Bullet 4"/>
    <w:basedOn w:val="List4"/>
    <w:rsid w:val="00105CB9"/>
    <w:pPr>
      <w:numPr>
        <w:numId w:val="3"/>
      </w:numPr>
      <w:tabs>
        <w:tab w:val="clear" w:pos="1361"/>
      </w:tabs>
    </w:pPr>
  </w:style>
  <w:style w:type="paragraph" w:styleId="ListBullet5">
    <w:name w:val="List Bullet 5"/>
    <w:basedOn w:val="List5"/>
    <w:rsid w:val="00105CB9"/>
    <w:pPr>
      <w:numPr>
        <w:numId w:val="4"/>
      </w:numPr>
    </w:pPr>
  </w:style>
  <w:style w:type="paragraph" w:styleId="ListContinue2">
    <w:name w:val="List Continue 2"/>
    <w:basedOn w:val="List2"/>
    <w:rsid w:val="00105CB9"/>
    <w:pPr>
      <w:ind w:firstLine="0"/>
    </w:pPr>
  </w:style>
  <w:style w:type="paragraph" w:styleId="ListContinue3">
    <w:name w:val="List Continue 3"/>
    <w:basedOn w:val="List3"/>
    <w:rsid w:val="00105CB9"/>
    <w:pPr>
      <w:ind w:left="1021" w:firstLine="0"/>
    </w:pPr>
  </w:style>
  <w:style w:type="paragraph" w:styleId="ListContinue4">
    <w:name w:val="List Continue 4"/>
    <w:basedOn w:val="List4"/>
    <w:rsid w:val="00105CB9"/>
    <w:pPr>
      <w:ind w:firstLine="0"/>
    </w:pPr>
  </w:style>
  <w:style w:type="paragraph" w:styleId="ListContinue5">
    <w:name w:val="List Continue 5"/>
    <w:basedOn w:val="List5"/>
    <w:rsid w:val="00105CB9"/>
    <w:pPr>
      <w:ind w:firstLine="0"/>
    </w:pPr>
  </w:style>
  <w:style w:type="paragraph" w:styleId="ListNumber3">
    <w:name w:val="List Number 3"/>
    <w:basedOn w:val="List3"/>
    <w:rsid w:val="00105CB9"/>
    <w:pPr>
      <w:numPr>
        <w:numId w:val="5"/>
      </w:numPr>
    </w:pPr>
  </w:style>
  <w:style w:type="paragraph" w:styleId="ListNumber4">
    <w:name w:val="List Number 4"/>
    <w:basedOn w:val="List4"/>
    <w:rsid w:val="00105CB9"/>
    <w:pPr>
      <w:numPr>
        <w:numId w:val="6"/>
      </w:numPr>
    </w:pPr>
  </w:style>
  <w:style w:type="paragraph" w:styleId="ListNumber5">
    <w:name w:val="List Number 5"/>
    <w:basedOn w:val="List5"/>
    <w:rsid w:val="00105CB9"/>
    <w:pPr>
      <w:numPr>
        <w:numId w:val="7"/>
      </w:numPr>
    </w:pPr>
  </w:style>
  <w:style w:type="paragraph" w:styleId="BlockText">
    <w:name w:val="Block Text"/>
    <w:basedOn w:val="Normal"/>
    <w:rsid w:val="00105CB9"/>
    <w:pPr>
      <w:spacing w:after="120"/>
      <w:ind w:left="1440" w:right="1440"/>
    </w:pPr>
  </w:style>
  <w:style w:type="character" w:customStyle="1" w:styleId="Subscript">
    <w:name w:val="Subscript"/>
    <w:basedOn w:val="DefaultParagraphFont"/>
    <w:rsid w:val="00105CB9"/>
    <w:rPr>
      <w:sz w:val="16"/>
      <w:vertAlign w:val="subscript"/>
    </w:rPr>
  </w:style>
  <w:style w:type="character" w:customStyle="1" w:styleId="Superscript">
    <w:name w:val="Superscript"/>
    <w:basedOn w:val="DefaultParagraphFont"/>
    <w:rsid w:val="00105CB9"/>
    <w:rPr>
      <w:sz w:val="16"/>
      <w:vertAlign w:val="superscript"/>
    </w:rPr>
  </w:style>
  <w:style w:type="character" w:customStyle="1" w:styleId="Symbols">
    <w:name w:val="Symbols"/>
    <w:basedOn w:val="DefaultParagraphFont"/>
    <w:rsid w:val="00105CB9"/>
    <w:rPr>
      <w:rFonts w:ascii="Symbol" w:hAnsi="Symbol"/>
    </w:rPr>
  </w:style>
  <w:style w:type="character" w:customStyle="1" w:styleId="MenuOptions">
    <w:name w:val="Menu Options"/>
    <w:basedOn w:val="DefaultParagraphFont"/>
    <w:rsid w:val="00105CB9"/>
    <w:rPr>
      <w:rFonts w:ascii="Arial Narrow" w:hAnsi="Arial Narrow"/>
      <w:smallCaps/>
    </w:rPr>
  </w:style>
  <w:style w:type="character" w:customStyle="1" w:styleId="Buttons">
    <w:name w:val="Buttons"/>
    <w:basedOn w:val="DefaultParagraphFont"/>
    <w:rsid w:val="00105CB9"/>
    <w:rPr>
      <w:b/>
    </w:rPr>
  </w:style>
  <w:style w:type="character" w:customStyle="1" w:styleId="Underlined">
    <w:name w:val="Underlined"/>
    <w:basedOn w:val="DefaultParagraphFont"/>
    <w:rsid w:val="00105CB9"/>
    <w:rPr>
      <w:u w:val="single"/>
    </w:rPr>
  </w:style>
  <w:style w:type="paragraph" w:customStyle="1" w:styleId="TableBodyTextRight">
    <w:name w:val="Table Body Text Right"/>
    <w:basedOn w:val="TableBodyText"/>
    <w:rsid w:val="00105CB9"/>
    <w:pPr>
      <w:widowControl w:val="0"/>
      <w:autoSpaceDE w:val="0"/>
      <w:autoSpaceDN w:val="0"/>
      <w:adjustRightInd w:val="0"/>
      <w:jc w:val="right"/>
    </w:pPr>
    <w:rPr>
      <w:rFonts w:cs="Arial"/>
      <w:szCs w:val="18"/>
    </w:rPr>
  </w:style>
  <w:style w:type="paragraph" w:customStyle="1" w:styleId="CopyrightText">
    <w:name w:val="Copyright Text"/>
    <w:basedOn w:val="BodyText"/>
    <w:rsid w:val="00105CB9"/>
    <w:rPr>
      <w:sz w:val="18"/>
    </w:rPr>
  </w:style>
  <w:style w:type="paragraph" w:customStyle="1" w:styleId="BodySmallRight">
    <w:name w:val="Body Small Right"/>
    <w:basedOn w:val="BodyTextRight"/>
    <w:rsid w:val="00105CB9"/>
    <w:rPr>
      <w:sz w:val="18"/>
      <w:szCs w:val="18"/>
    </w:rPr>
  </w:style>
  <w:style w:type="paragraph" w:customStyle="1" w:styleId="MarginEdition">
    <w:name w:val="Margin Edition"/>
    <w:basedOn w:val="MarginNote"/>
    <w:rsid w:val="00105CB9"/>
    <w:pPr>
      <w:spacing w:before="0" w:after="0"/>
    </w:pPr>
    <w:rPr>
      <w:rFonts w:ascii="Times New Roman" w:hAnsi="Times New Roman"/>
      <w:color w:val="999999"/>
    </w:rPr>
  </w:style>
  <w:style w:type="paragraph" w:customStyle="1" w:styleId="Spacer">
    <w:name w:val="Spacer"/>
    <w:basedOn w:val="Normal"/>
    <w:rsid w:val="00105CB9"/>
    <w:rPr>
      <w:sz w:val="2"/>
      <w:szCs w:val="2"/>
    </w:rPr>
  </w:style>
  <w:style w:type="character" w:customStyle="1" w:styleId="Small">
    <w:name w:val="Small"/>
    <w:basedOn w:val="DefaultParagraphFont"/>
    <w:rsid w:val="00105CB9"/>
    <w:rPr>
      <w:sz w:val="16"/>
    </w:rPr>
  </w:style>
  <w:style w:type="paragraph" w:customStyle="1" w:styleId="WideTable">
    <w:name w:val="Wide Table"/>
    <w:basedOn w:val="Normal"/>
    <w:rsid w:val="00105CB9"/>
    <w:pPr>
      <w:ind w:left="-1418"/>
    </w:pPr>
    <w:rPr>
      <w:sz w:val="2"/>
      <w:szCs w:val="2"/>
    </w:rPr>
  </w:style>
  <w:style w:type="character" w:styleId="PageNumber">
    <w:name w:val="page number"/>
    <w:basedOn w:val="DefaultParagraphFont"/>
    <w:rsid w:val="00105CB9"/>
  </w:style>
  <w:style w:type="paragraph" w:styleId="Quote">
    <w:name w:val="Quote"/>
    <w:basedOn w:val="Heading1"/>
    <w:link w:val="QuoteChar"/>
    <w:qFormat/>
    <w:rsid w:val="00105CB9"/>
    <w:rPr>
      <w:b w:val="0"/>
      <w:sz w:val="72"/>
      <w:szCs w:val="72"/>
      <w:lang w:val="en-NZ"/>
    </w:rPr>
  </w:style>
  <w:style w:type="character" w:customStyle="1" w:styleId="QuoteChar">
    <w:name w:val="Quote Char"/>
    <w:basedOn w:val="DefaultParagraphFont"/>
    <w:link w:val="Quote"/>
    <w:rsid w:val="00105C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5CB9"/>
    <w:pPr>
      <w:pageBreakBefore/>
    </w:pPr>
  </w:style>
  <w:style w:type="paragraph" w:customStyle="1" w:styleId="Border">
    <w:name w:val="Border"/>
    <w:basedOn w:val="Normal"/>
    <w:qFormat/>
    <w:rsid w:val="00105C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5CB9"/>
    <w:rPr>
      <w:b/>
      <w:bCs/>
      <w:i/>
      <w:iCs/>
      <w:color w:val="auto"/>
    </w:rPr>
  </w:style>
  <w:style w:type="paragraph" w:styleId="IntenseQuote">
    <w:name w:val="Intense Quote"/>
    <w:basedOn w:val="Normal"/>
    <w:next w:val="Normal"/>
    <w:link w:val="IntenseQuoteChar"/>
    <w:uiPriority w:val="30"/>
    <w:qFormat/>
    <w:rsid w:val="00105C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5C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5CB9"/>
    <w:rPr>
      <w:smallCaps/>
      <w:color w:val="auto"/>
      <w:u w:val="single"/>
    </w:rPr>
  </w:style>
  <w:style w:type="character" w:styleId="IntenseReference">
    <w:name w:val="Intense Reference"/>
    <w:basedOn w:val="DefaultParagraphFont"/>
    <w:uiPriority w:val="32"/>
    <w:qFormat/>
    <w:rsid w:val="00105CB9"/>
    <w:rPr>
      <w:b/>
      <w:bCs/>
      <w:smallCaps/>
      <w:color w:val="auto"/>
      <w:spacing w:val="5"/>
      <w:u w:val="single"/>
    </w:rPr>
  </w:style>
  <w:style w:type="paragraph" w:customStyle="1" w:styleId="2ColumnHeading">
    <w:name w:val="2Column Heading"/>
    <w:basedOn w:val="BodyText"/>
    <w:qFormat/>
    <w:rsid w:val="00105CB9"/>
    <w:pPr>
      <w:spacing w:after="60"/>
      <w:ind w:left="-2268"/>
    </w:pPr>
    <w:rPr>
      <w:b/>
    </w:rPr>
  </w:style>
  <w:style w:type="paragraph" w:customStyle="1" w:styleId="Heading1TOC">
    <w:name w:val="Heading1 TOC"/>
    <w:basedOn w:val="Normal"/>
    <w:qFormat/>
    <w:rsid w:val="00105CB9"/>
    <w:pPr>
      <w:spacing w:before="240" w:after="120"/>
    </w:pPr>
    <w:rPr>
      <w:rFonts w:ascii="Times New Roman" w:hAnsi="Times New Roman"/>
      <w:b/>
      <w:sz w:val="32"/>
    </w:rPr>
  </w:style>
  <w:style w:type="paragraph" w:customStyle="1" w:styleId="Heading2TOC">
    <w:name w:val="Heading2 TOC"/>
    <w:basedOn w:val="Normal"/>
    <w:qFormat/>
    <w:rsid w:val="00105CB9"/>
    <w:pPr>
      <w:spacing w:before="240" w:after="60"/>
    </w:pPr>
    <w:rPr>
      <w:rFonts w:ascii="Times New Roman" w:hAnsi="Times New Roman"/>
      <w:b/>
      <w:sz w:val="28"/>
    </w:rPr>
  </w:style>
  <w:style w:type="character" w:customStyle="1" w:styleId="Underline">
    <w:name w:val="Underline"/>
    <w:basedOn w:val="DefaultParagraphFont"/>
    <w:qFormat/>
    <w:rsid w:val="00105CB9"/>
    <w:rPr>
      <w:u w:val="single"/>
    </w:rPr>
  </w:style>
  <w:style w:type="character" w:customStyle="1" w:styleId="BoldandItalics">
    <w:name w:val="Bold and Italics"/>
    <w:qFormat/>
    <w:rsid w:val="00105CB9"/>
    <w:rPr>
      <w:b/>
      <w:i/>
      <w:u w:val="none"/>
    </w:rPr>
  </w:style>
  <w:style w:type="paragraph" w:styleId="BalloonText">
    <w:name w:val="Balloon Text"/>
    <w:basedOn w:val="Normal"/>
    <w:link w:val="BalloonTextChar"/>
    <w:rsid w:val="00105CB9"/>
    <w:rPr>
      <w:rFonts w:ascii="Tahoma" w:hAnsi="Tahoma" w:cs="Tahoma"/>
      <w:sz w:val="16"/>
      <w:szCs w:val="16"/>
    </w:rPr>
  </w:style>
  <w:style w:type="character" w:customStyle="1" w:styleId="BalloonTextChar">
    <w:name w:val="Balloon Text Char"/>
    <w:basedOn w:val="DefaultParagraphFont"/>
    <w:link w:val="BalloonText"/>
    <w:rsid w:val="00105C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5C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5C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5CB9"/>
    <w:rPr>
      <w:b/>
      <w:color w:val="660033"/>
      <w:spacing w:val="0"/>
    </w:rPr>
  </w:style>
  <w:style w:type="paragraph" w:customStyle="1" w:styleId="Nameditemlist">
    <w:name w:val="Named item list"/>
    <w:basedOn w:val="BodyText"/>
    <w:qFormat/>
    <w:rsid w:val="00105CB9"/>
    <w:pPr>
      <w:tabs>
        <w:tab w:val="left" w:pos="2835"/>
      </w:tabs>
      <w:ind w:left="2835" w:hanging="2835"/>
    </w:pPr>
  </w:style>
  <w:style w:type="paragraph" w:customStyle="1" w:styleId="BodyTextnopadding">
    <w:name w:val="Body Text no padding"/>
    <w:basedOn w:val="BodyText"/>
    <w:qFormat/>
    <w:rsid w:val="00105CB9"/>
    <w:pPr>
      <w:spacing w:before="0" w:after="0"/>
    </w:pPr>
  </w:style>
  <w:style w:type="paragraph" w:customStyle="1" w:styleId="BodyTextBold">
    <w:name w:val="Body Text Bold"/>
    <w:basedOn w:val="BodyText"/>
    <w:qFormat/>
    <w:rsid w:val="00105CB9"/>
    <w:rPr>
      <w:b/>
    </w:rPr>
  </w:style>
  <w:style w:type="character" w:styleId="Hyperlink">
    <w:name w:val="Hyperlink"/>
    <w:basedOn w:val="DefaultParagraphFont"/>
    <w:uiPriority w:val="99"/>
    <w:unhideWhenUsed/>
    <w:rsid w:val="007632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1256</Words>
  <Characters>7929</Characters>
  <Application>Microsoft Office Word</Application>
  <DocSecurity>0</DocSecurity>
  <Lines>283</Lines>
  <Paragraphs>153</Paragraphs>
  <ScaleCrop>false</ScaleCrop>
  <Company>Author-it Software Corporation Ltd.</Company>
  <LinksUpToDate>false</LinksUpToDate>
  <CharactersWithSpaces>9032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CPPACC8001 Research and analyse access and use requirements for people with diverse disabilities</dc:title>
  <dc:subject>Approved</dc:subject>
  <dc:creator>BuildSkills Australia</dc:creator>
  <cp:keywords>Release: 1</cp:keywords>
  <dc:description>Review Date: 12 April 2008</dc:description>
  <cp:lastModifiedBy>HSD_TPCMSd.prod</cp:lastModifiedBy>
  <cp:revision>3</cp:revision>
  <dcterms:created xsi:type="dcterms:W3CDTF">2025-03-01T13:33:00Z</dcterms:created>
  <dcterms:modified xsi:type="dcterms:W3CDTF">2025-03-01T13:33:00Z</dcterms:modified>
</cp:coreProperties>
</file>