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2C67" w:rsidP="004E2C67">
      <w:pPr>
        <w:pStyle w:val="Title"/>
      </w:pPr>
      <w:r>
        <w:fldChar w:fldCharType="begin"/>
      </w:r>
      <w:r>
        <w:instrText xml:space="preserve"> TITLE   \* MERGEFORMAT </w:instrText>
      </w:r>
      <w:r>
        <w:fldChar w:fldCharType="separate"/>
      </w:r>
      <w:r>
        <w:t>CPPACC6003 Apply unjustifiable hardship principles to assess solutions for access</w:t>
      </w:r>
      <w:r>
        <w:fldChar w:fldCharType="end"/>
      </w:r>
    </w:p>
    <w:p w:rsidR="004E2C67" w:rsidP="004E2C67">
      <w:pPr>
        <w:pStyle w:val="Version"/>
        <w:sectPr w:rsidSect="00B421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21AB" w:rsidP="00B421AB">
      <w:pPr>
        <w:pStyle w:val="SuperHeading"/>
      </w:pPr>
      <w:r w:rsidRPr="00B421AB">
        <w:t>CPPACC6003 Apply unjustifiable hardship principles to assess solutions for access</w:t>
      </w:r>
    </w:p>
    <w:p w:rsidR="00000000" w:rsidRPr="00B421AB" w:rsidP="00B421AB">
      <w:pPr>
        <w:pStyle w:val="Heading1"/>
      </w:pPr>
      <w:bookmarkStart w:id="1" w:name="O_1173469"/>
      <w:bookmarkEnd w:id="1"/>
      <w:r w:rsidRPr="00B421AB">
        <w:t>Modification History</w:t>
      </w:r>
    </w:p>
    <w:tbl>
      <w:tblPr>
        <w:tblW w:w="0" w:type="auto"/>
        <w:tblLayout w:type="fixed"/>
        <w:tblCellMar>
          <w:left w:w="62" w:type="dxa"/>
          <w:right w:w="62" w:type="dxa"/>
        </w:tblCellMar>
        <w:tblLook w:val="0000"/>
      </w:tblPr>
      <w:tblGrid>
        <w:gridCol w:w="1128"/>
        <w:gridCol w:w="7944"/>
      </w:tblGrid>
      <w:tr w:rsidTr="00B421A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Release 1</w:t>
            </w:r>
          </w:p>
        </w:tc>
        <w:tc>
          <w:tcPr>
            <w:tcW w:w="7944" w:type="dxa"/>
            <w:tcBorders>
              <w:top w:val="nil"/>
              <w:left w:val="nil"/>
              <w:bottom w:val="nil"/>
              <w:right w:val="nil"/>
            </w:tcBorders>
            <w:tcMar>
              <w:top w:w="0" w:type="dxa"/>
              <w:left w:w="62" w:type="dxa"/>
              <w:bottom w:w="0" w:type="dxa"/>
              <w:right w:w="62" w:type="dxa"/>
            </w:tcMar>
          </w:tcPr>
          <w:p w:rsidR="00000000" w:rsidRPr="00B421AB" w:rsidP="00B421AB">
            <w:pPr>
              <w:pStyle w:val="BodyText"/>
            </w:pPr>
            <w:r w:rsidRPr="00B421AB">
              <w:t>This unit first released with CPP Property Services Training Package Release 14.0.</w:t>
            </w:r>
          </w:p>
          <w:p w:rsidR="00000000" w:rsidRPr="00B421AB" w:rsidP="00B421AB">
            <w:pPr>
              <w:pStyle w:val="BodyText"/>
            </w:pPr>
            <w:r w:rsidRPr="00B421AB">
              <w:t>Supersedes and is equivalent to CPPACC6003A Apply unjustifiable hardship principles to Alternative Building Solutions for access. Unit title changed to clarify outcome.</w:t>
            </w:r>
          </w:p>
          <w:p w:rsidR="00000000" w:rsidRPr="00B421AB" w:rsidP="00B421AB">
            <w:pPr>
              <w:pStyle w:val="BodyText"/>
            </w:pPr>
            <w:r w:rsidRPr="00B421AB">
              <w:t xml:space="preserve">Unit updated to meet the Standards for Training Packages 2012. </w:t>
            </w:r>
          </w:p>
        </w:tc>
      </w:tr>
    </w:tbl>
    <w:p w:rsidR="00000000" w:rsidRPr="00B421AB" w:rsidP="00B421AB">
      <w:pPr>
        <w:pStyle w:val="BodyText"/>
      </w:pPr>
    </w:p>
    <w:p w:rsidR="00000000" w:rsidRPr="00B421AB" w:rsidP="00B421AB">
      <w:pPr>
        <w:pStyle w:val="AllowPageBreak"/>
      </w:pPr>
    </w:p>
    <w:p w:rsidR="00000000" w:rsidRPr="00B421AB" w:rsidP="00B421AB">
      <w:pPr>
        <w:pStyle w:val="Heading1"/>
      </w:pPr>
      <w:bookmarkStart w:id="2" w:name="O_1173475"/>
      <w:bookmarkEnd w:id="2"/>
      <w:r w:rsidRPr="00B421AB">
        <w:t>Ap</w:t>
      </w:r>
      <w:r w:rsidRPr="00B421AB">
        <w:t>plication</w:t>
      </w:r>
    </w:p>
    <w:p w:rsidR="00000000" w:rsidRPr="00B421AB" w:rsidP="004E2C67">
      <w:pPr>
        <w:pStyle w:val="BodyText"/>
      </w:pPr>
      <w:r w:rsidRPr="00B421AB">
        <w:t>This unit of competency specifies the skills and knowledge required to apply the principles of unjustifiable hardship to the regulatory requirements for existing buildings undergoing building work. Principles of unjustifiable hardship are set out</w:t>
      </w:r>
      <w:r w:rsidRPr="00B421AB">
        <w:t xml:space="preserve"> in the Process to Administer Access to Buildings (The Protocol) and the </w:t>
      </w:r>
      <w:r w:rsidRPr="00B421AB">
        <w:rPr>
          <w:rStyle w:val="Emphasis"/>
        </w:rPr>
        <w:t xml:space="preserve">Disability Discrimination Act 1992 </w:t>
      </w:r>
      <w:r w:rsidRPr="00B421AB">
        <w:t>(DDA). The unit includes assessing any unjustifiable hardship component of a proposed building upgrade plan, performance solution or application for</w:t>
      </w:r>
      <w:r w:rsidRPr="00B421AB">
        <w:t xml:space="preserve"> exception from a requirement of the National Construction Code (NCC), and summarising assessment results in a report which may be considered as part of an Access Panel case.</w:t>
      </w:r>
    </w:p>
    <w:p w:rsidR="00000000" w:rsidRPr="00B421AB" w:rsidP="004E2C67">
      <w:pPr>
        <w:pStyle w:val="BodyText"/>
      </w:pPr>
      <w:r w:rsidRPr="00B421AB">
        <w:t>This unit is for access consultants who use their broad theoretical and technical</w:t>
      </w:r>
      <w:r w:rsidRPr="00B421AB">
        <w:t xml:space="preserve"> skills and knowledge to analyse information, provide advice and devise solutions to sometimes complex access problems in compliance with regulatory requirements for the provision of access for people with disability.</w:t>
      </w:r>
    </w:p>
    <w:p w:rsidR="00000000" w:rsidRPr="00B421AB" w:rsidP="004E2C67">
      <w:pPr>
        <w:pStyle w:val="BodyText"/>
      </w:pPr>
      <w:r w:rsidRPr="00B421AB">
        <w:t>No licensing, legislative or certifica</w:t>
      </w:r>
      <w:r w:rsidRPr="00B421AB">
        <w:t>tion requirements apply to this unit at the time of publication.</w:t>
      </w:r>
    </w:p>
    <w:p w:rsidR="00000000" w:rsidRPr="00B421AB" w:rsidP="00B421AB">
      <w:pPr>
        <w:pStyle w:val="Heading1"/>
      </w:pPr>
      <w:bookmarkStart w:id="3" w:name="O_1173474"/>
      <w:bookmarkEnd w:id="3"/>
      <w:r w:rsidRPr="00B421AB">
        <w:t>Pre-requisite Unit</w:t>
      </w:r>
    </w:p>
    <w:p w:rsidR="00000000" w:rsidRPr="00B421AB" w:rsidP="004E2C67">
      <w:pPr>
        <w:pStyle w:val="BodyText"/>
      </w:pPr>
      <w:r w:rsidRPr="00B421AB">
        <w:t>Nil.</w:t>
      </w:r>
    </w:p>
    <w:p w:rsidR="00000000" w:rsidRPr="00B421AB" w:rsidP="00B421AB">
      <w:pPr>
        <w:pStyle w:val="Heading1"/>
      </w:pPr>
      <w:bookmarkStart w:id="4" w:name="O_1173473"/>
      <w:bookmarkEnd w:id="4"/>
      <w:r w:rsidRPr="00B421AB">
        <w:t>Unit Sector</w:t>
      </w:r>
    </w:p>
    <w:p w:rsidR="00000000" w:rsidRPr="00B421AB" w:rsidP="004E2C67">
      <w:pPr>
        <w:pStyle w:val="BodyText"/>
      </w:pPr>
      <w:r w:rsidRPr="00B421AB">
        <w:t>Access Consulting.</w:t>
      </w:r>
    </w:p>
    <w:p w:rsidR="00000000" w:rsidRPr="00B421AB" w:rsidP="00B421AB">
      <w:pPr>
        <w:pStyle w:val="Heading1"/>
      </w:pPr>
      <w:bookmarkStart w:id="5" w:name="O_1173472"/>
      <w:bookmarkEnd w:id="5"/>
      <w:r w:rsidRPr="00B421AB">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421AB">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 xml:space="preserve">Elements describe the </w:t>
            </w:r>
            <w:r w:rsidRPr="00B421AB">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 xml:space="preserve">Performance criteria describe what needs to be done to </w:t>
            </w:r>
            <w:r w:rsidRPr="00B421AB">
              <w:t>demonstrate achievement of the element.</w:t>
            </w:r>
          </w:p>
        </w:tc>
      </w:tr>
      <w:tr w:rsidTr="00B421A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1</w:t>
            </w:r>
          </w:p>
        </w:tc>
        <w:tc>
          <w:tcPr>
            <w:tcW w:w="2357" w:type="dxa"/>
            <w:vMerge w:val="restart"/>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Assess proposal from building control authority.</w:t>
            </w:r>
          </w:p>
        </w:tc>
        <w:tc>
          <w:tcPr>
            <w:tcW w:w="804" w:type="dxa"/>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1.1</w:t>
            </w:r>
          </w:p>
        </w:tc>
        <w:tc>
          <w:tcPr>
            <w:tcW w:w="5659" w:type="dxa"/>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Interpret proposal documentation to clarify classification as building upgrade plan, performance solutio</w:t>
            </w:r>
            <w:r w:rsidRPr="00B421AB">
              <w:t>n or application for exception from a requirement of the NCC.</w:t>
            </w:r>
          </w:p>
        </w:tc>
      </w:tr>
      <w:tr w:rsidTr="00B421A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1.2</w:t>
            </w:r>
          </w:p>
        </w:tc>
        <w:tc>
          <w:tcPr>
            <w:tcW w:w="5659" w:type="dxa"/>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Assess and document issues raised by building control authority.</w:t>
            </w:r>
          </w:p>
        </w:tc>
      </w:tr>
      <w:tr w:rsidTr="00B421A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1.3</w:t>
            </w:r>
          </w:p>
        </w:tc>
        <w:tc>
          <w:tcPr>
            <w:tcW w:w="5659" w:type="dxa"/>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Identify grounds for request for unjustifiable hardship from proposal documentation.</w:t>
            </w:r>
          </w:p>
        </w:tc>
      </w:tr>
      <w:tr w:rsidTr="00B421A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421AB">
            <w:pPr>
              <w:pStyle w:val="BodyText"/>
              <w:rPr>
                <w:lang w:val="en-NZ"/>
              </w:rPr>
            </w:pPr>
          </w:p>
        </w:tc>
      </w:tr>
      <w:tr w:rsidTr="00B421A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2</w:t>
            </w:r>
          </w:p>
        </w:tc>
        <w:tc>
          <w:tcPr>
            <w:tcW w:w="2357" w:type="dxa"/>
            <w:vMerge w:val="restart"/>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Apply unjustifiable hardship principles to assess building upgrade plan.</w:t>
            </w:r>
          </w:p>
        </w:tc>
        <w:tc>
          <w:tcPr>
            <w:tcW w:w="804" w:type="dxa"/>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2.1</w:t>
            </w:r>
          </w:p>
        </w:tc>
        <w:tc>
          <w:tcPr>
            <w:tcW w:w="5659" w:type="dxa"/>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Interpret building upgrade plan to identify key access components.</w:t>
            </w:r>
          </w:p>
        </w:tc>
      </w:tr>
      <w:tr w:rsidTr="00B421A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2.2</w:t>
            </w:r>
          </w:p>
        </w:tc>
        <w:tc>
          <w:tcPr>
            <w:tcW w:w="5659" w:type="dxa"/>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Conduct technical assessment of issues in building upgrade plan according to The Protocol requirements.</w:t>
            </w:r>
          </w:p>
        </w:tc>
      </w:tr>
      <w:tr w:rsidTr="00B421A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2.3</w:t>
            </w:r>
          </w:p>
        </w:tc>
        <w:tc>
          <w:tcPr>
            <w:tcW w:w="5659" w:type="dxa"/>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Determine level of access resulting from building upgrade plan according to regulatory requirements.</w:t>
            </w:r>
          </w:p>
        </w:tc>
      </w:tr>
      <w:tr w:rsidTr="00B421A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2.4</w:t>
            </w:r>
          </w:p>
        </w:tc>
        <w:tc>
          <w:tcPr>
            <w:tcW w:w="5659" w:type="dxa"/>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Assess the appropriateness of timeframes proposed by building upgrade plan and document findings according to unjustifiable hardship considerations, regulatory and workplace requirements.</w:t>
            </w:r>
          </w:p>
        </w:tc>
      </w:tr>
      <w:tr w:rsidTr="00B421A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421AB">
            <w:pPr>
              <w:pStyle w:val="BodyText"/>
              <w:rPr>
                <w:lang w:val="en-NZ"/>
              </w:rPr>
            </w:pPr>
          </w:p>
        </w:tc>
      </w:tr>
      <w:tr w:rsidTr="00B421AB">
        <w:tblPrEx>
          <w:tblW w:w="0" w:type="auto"/>
          <w:tblLayout w:type="fixed"/>
          <w:tblCellMar>
            <w:left w:w="62" w:type="dxa"/>
            <w:right w:w="62" w:type="dxa"/>
          </w:tblCellMar>
          <w:tblLook w:val="0000"/>
        </w:tblPrEx>
        <w:trPr>
          <w:trHeight w:val="411"/>
        </w:trPr>
        <w:tc>
          <w:tcPr>
            <w:tcW w:w="313" w:type="dxa"/>
            <w:vMerge w:val="restart"/>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3</w:t>
            </w:r>
          </w:p>
        </w:tc>
        <w:tc>
          <w:tcPr>
            <w:tcW w:w="2357" w:type="dxa"/>
            <w:vMerge w:val="restart"/>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Apply unjustifiable hardship principles to assess performanc</w:t>
            </w:r>
            <w:r w:rsidRPr="00B421AB">
              <w:t>e solution.</w:t>
            </w:r>
          </w:p>
        </w:tc>
        <w:tc>
          <w:tcPr>
            <w:tcW w:w="804" w:type="dxa"/>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3.1</w:t>
            </w:r>
          </w:p>
        </w:tc>
        <w:tc>
          <w:tcPr>
            <w:tcW w:w="5659" w:type="dxa"/>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Assess performance of solution for providing access outcomes equivalent to NCC deemed-to-satisfy (DTS) provisions.</w:t>
            </w:r>
          </w:p>
        </w:tc>
      </w:tr>
      <w:tr w:rsidTr="00B421AB">
        <w:tblPrEx>
          <w:tblW w:w="0" w:type="auto"/>
          <w:tblLayout w:type="fixed"/>
          <w:tblCellMar>
            <w:left w:w="62" w:type="dxa"/>
            <w:right w:w="62" w:type="dxa"/>
          </w:tblCellMar>
          <w:tblLook w:val="0000"/>
        </w:tblPrEx>
        <w:trPr>
          <w:trHeight w:val="411"/>
        </w:trPr>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3.2</w:t>
            </w:r>
          </w:p>
        </w:tc>
        <w:tc>
          <w:tcPr>
            <w:tcW w:w="5659" w:type="dxa"/>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Conduct technical assessment of issues identified in the application for performance solution according to The Protocol requirements.</w:t>
            </w:r>
          </w:p>
        </w:tc>
      </w:tr>
      <w:tr w:rsidTr="00B421AB">
        <w:tblPrEx>
          <w:tblW w:w="0" w:type="auto"/>
          <w:tblLayout w:type="fixed"/>
          <w:tblCellMar>
            <w:left w:w="62" w:type="dxa"/>
            <w:right w:w="62" w:type="dxa"/>
          </w:tblCellMar>
          <w:tblLook w:val="0000"/>
        </w:tblPrEx>
        <w:trPr>
          <w:trHeight w:val="411"/>
        </w:trPr>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3.3</w:t>
            </w:r>
          </w:p>
        </w:tc>
        <w:tc>
          <w:tcPr>
            <w:tcW w:w="5659" w:type="dxa"/>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Assess the ability of the performance solution to provide access and document findings according to unjustifiable h</w:t>
            </w:r>
            <w:r w:rsidRPr="00B421AB">
              <w:t>ardship considerations, regulatory and workplace requirements.</w:t>
            </w:r>
          </w:p>
        </w:tc>
      </w:tr>
      <w:tr w:rsidTr="00B421AB">
        <w:tblPrEx>
          <w:tblW w:w="0" w:type="auto"/>
          <w:tblLayout w:type="fixed"/>
          <w:tblCellMar>
            <w:left w:w="62" w:type="dxa"/>
            <w:right w:w="62" w:type="dxa"/>
          </w:tblCellMar>
          <w:tblLook w:val="0000"/>
        </w:tblPrEx>
        <w:trPr>
          <w:trHeight w:val="411"/>
        </w:trPr>
        <w:tc>
          <w:tcPr>
            <w:tcW w:w="9133" w:type="dxa"/>
            <w:gridSpan w:val="4"/>
            <w:tcBorders>
              <w:top w:val="nil"/>
              <w:left w:val="nil"/>
              <w:bottom w:val="nil"/>
              <w:right w:val="nil"/>
            </w:tcBorders>
            <w:tcMar>
              <w:top w:w="0" w:type="dxa"/>
              <w:left w:w="62" w:type="dxa"/>
              <w:bottom w:w="0" w:type="dxa"/>
              <w:right w:w="62" w:type="dxa"/>
            </w:tcMar>
          </w:tcPr>
          <w:p w:rsidR="00000000" w:rsidP="00B421AB">
            <w:pPr>
              <w:pStyle w:val="BodyText"/>
              <w:rPr>
                <w:lang w:val="en-NZ"/>
              </w:rPr>
            </w:pPr>
          </w:p>
        </w:tc>
      </w:tr>
      <w:tr w:rsidTr="00B421AB">
        <w:tblPrEx>
          <w:tblW w:w="0" w:type="auto"/>
          <w:tblLayout w:type="fixed"/>
          <w:tblCellMar>
            <w:left w:w="62" w:type="dxa"/>
            <w:right w:w="62" w:type="dxa"/>
          </w:tblCellMar>
          <w:tblLook w:val="0000"/>
        </w:tblPrEx>
        <w:trPr>
          <w:trHeight w:val="411"/>
        </w:trPr>
        <w:tc>
          <w:tcPr>
            <w:tcW w:w="313" w:type="dxa"/>
            <w:vMerge w:val="restart"/>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4</w:t>
            </w:r>
          </w:p>
        </w:tc>
        <w:tc>
          <w:tcPr>
            <w:tcW w:w="2357" w:type="dxa"/>
            <w:vMerge w:val="restart"/>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 xml:space="preserve">Apply unjustifiable hardship principles to application for exception from an </w:t>
            </w:r>
            <w:r w:rsidRPr="00B421AB">
              <w:t>NCC requirement.</w:t>
            </w:r>
          </w:p>
        </w:tc>
        <w:tc>
          <w:tcPr>
            <w:tcW w:w="804" w:type="dxa"/>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4.1</w:t>
            </w:r>
          </w:p>
        </w:tc>
        <w:tc>
          <w:tcPr>
            <w:tcW w:w="5659" w:type="dxa"/>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Identify issues in the proposal nominated as preventing the provision of access.</w:t>
            </w:r>
          </w:p>
        </w:tc>
      </w:tr>
      <w:tr w:rsidTr="00B421AB">
        <w:tblPrEx>
          <w:tblW w:w="0" w:type="auto"/>
          <w:tblLayout w:type="fixed"/>
          <w:tblCellMar>
            <w:left w:w="62" w:type="dxa"/>
            <w:right w:w="62" w:type="dxa"/>
          </w:tblCellMar>
          <w:tblLook w:val="0000"/>
        </w:tblPrEx>
        <w:trPr>
          <w:trHeight w:val="411"/>
        </w:trPr>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4.2</w:t>
            </w:r>
          </w:p>
        </w:tc>
        <w:tc>
          <w:tcPr>
            <w:tcW w:w="5659" w:type="dxa"/>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 xml:space="preserve">Conduct technical assessment of issues identified in the </w:t>
            </w:r>
            <w:r w:rsidRPr="00B421AB">
              <w:t>application for exception from a requirement of the NCC according to The Protocol requirements.</w:t>
            </w:r>
          </w:p>
        </w:tc>
      </w:tr>
      <w:tr w:rsidTr="00B421AB">
        <w:tblPrEx>
          <w:tblW w:w="0" w:type="auto"/>
          <w:tblLayout w:type="fixed"/>
          <w:tblCellMar>
            <w:left w:w="62" w:type="dxa"/>
            <w:right w:w="62" w:type="dxa"/>
          </w:tblCellMar>
          <w:tblLook w:val="0000"/>
        </w:tblPrEx>
        <w:trPr>
          <w:trHeight w:val="411"/>
        </w:trPr>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4.3</w:t>
            </w:r>
          </w:p>
        </w:tc>
        <w:tc>
          <w:tcPr>
            <w:tcW w:w="5659" w:type="dxa"/>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Assess the validity of iss</w:t>
            </w:r>
            <w:r w:rsidRPr="00B421AB">
              <w:t>ues presented in the application for exception from a requirement of the NCC and document findings according to unjustifiable hardship considerations, regulatory and workplace requirements.</w:t>
            </w:r>
          </w:p>
        </w:tc>
      </w:tr>
      <w:tr w:rsidTr="00B421AB">
        <w:tblPrEx>
          <w:tblW w:w="0" w:type="auto"/>
          <w:tblLayout w:type="fixed"/>
          <w:tblCellMar>
            <w:left w:w="62" w:type="dxa"/>
            <w:right w:w="62" w:type="dxa"/>
          </w:tblCellMar>
          <w:tblLook w:val="0000"/>
        </w:tblPrEx>
        <w:trPr>
          <w:trHeight w:val="411"/>
        </w:trPr>
        <w:tc>
          <w:tcPr>
            <w:tcW w:w="9133" w:type="dxa"/>
            <w:gridSpan w:val="4"/>
            <w:tcBorders>
              <w:top w:val="nil"/>
              <w:left w:val="nil"/>
              <w:bottom w:val="nil"/>
              <w:right w:val="nil"/>
            </w:tcBorders>
            <w:tcMar>
              <w:top w:w="0" w:type="dxa"/>
              <w:left w:w="62" w:type="dxa"/>
              <w:bottom w:w="0" w:type="dxa"/>
              <w:right w:w="62" w:type="dxa"/>
            </w:tcMar>
          </w:tcPr>
          <w:p w:rsidR="00000000" w:rsidP="00B421AB">
            <w:pPr>
              <w:pStyle w:val="BodyText"/>
              <w:rPr>
                <w:lang w:val="en-NZ"/>
              </w:rPr>
            </w:pPr>
          </w:p>
        </w:tc>
      </w:tr>
      <w:tr w:rsidTr="00B421AB">
        <w:tblPrEx>
          <w:tblW w:w="0" w:type="auto"/>
          <w:tblLayout w:type="fixed"/>
          <w:tblCellMar>
            <w:left w:w="62" w:type="dxa"/>
            <w:right w:w="62" w:type="dxa"/>
          </w:tblCellMar>
          <w:tblLook w:val="0000"/>
        </w:tblPrEx>
        <w:trPr>
          <w:trHeight w:val="411"/>
        </w:trPr>
        <w:tc>
          <w:tcPr>
            <w:tcW w:w="313" w:type="dxa"/>
            <w:vMerge w:val="restart"/>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5</w:t>
            </w:r>
          </w:p>
        </w:tc>
        <w:tc>
          <w:tcPr>
            <w:tcW w:w="2357" w:type="dxa"/>
            <w:vMerge w:val="restart"/>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Document findings.</w:t>
            </w:r>
          </w:p>
        </w:tc>
        <w:tc>
          <w:tcPr>
            <w:tcW w:w="804" w:type="dxa"/>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5.1</w:t>
            </w:r>
          </w:p>
        </w:tc>
        <w:tc>
          <w:tcPr>
            <w:tcW w:w="5659" w:type="dxa"/>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Assess unjustifiable hardship decis</w:t>
            </w:r>
            <w:r w:rsidRPr="00B421AB">
              <w:t>ions and document findings according to regulatory and workplace requirements.</w:t>
            </w:r>
          </w:p>
        </w:tc>
      </w:tr>
      <w:tr w:rsidTr="00B421AB">
        <w:tblPrEx>
          <w:tblW w:w="0" w:type="auto"/>
          <w:tblLayout w:type="fixed"/>
          <w:tblCellMar>
            <w:left w:w="62" w:type="dxa"/>
            <w:right w:w="62" w:type="dxa"/>
          </w:tblCellMar>
          <w:tblLook w:val="0000"/>
        </w:tblPrEx>
        <w:trPr>
          <w:trHeight w:val="411"/>
        </w:trPr>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421AB">
            <w:pPr>
              <w:pStyle w:val="BodyText"/>
              <w:rPr>
                <w:lang w:val="en-NZ"/>
              </w:rPr>
            </w:pPr>
            <w:r w:rsidRPr="00B421AB">
              <w:t>5.2</w:t>
            </w:r>
          </w:p>
        </w:tc>
        <w:tc>
          <w:tcPr>
            <w:tcW w:w="5659" w:type="dxa"/>
            <w:tcBorders>
              <w:top w:val="nil"/>
              <w:left w:val="nil"/>
              <w:bottom w:val="nil"/>
              <w:right w:val="nil"/>
            </w:tcBorders>
            <w:tcMar>
              <w:top w:w="0" w:type="dxa"/>
              <w:left w:w="62" w:type="dxa"/>
              <w:bottom w:w="0" w:type="dxa"/>
              <w:right w:w="62" w:type="dxa"/>
            </w:tcMar>
          </w:tcPr>
          <w:p w:rsidR="00000000" w:rsidRPr="00B421AB" w:rsidP="00B421AB">
            <w:pPr>
              <w:pStyle w:val="BodyText"/>
            </w:pPr>
            <w:r w:rsidRPr="00B421AB">
              <w:t>Maintain copies of the findings and associated documentation for future retrieval according to regulatory and workplace requirements.</w:t>
            </w:r>
          </w:p>
        </w:tc>
      </w:tr>
    </w:tbl>
    <w:p w:rsidR="00000000" w:rsidRPr="00B421AB" w:rsidP="00B421AB">
      <w:pPr>
        <w:pStyle w:val="BodyText"/>
      </w:pPr>
    </w:p>
    <w:p w:rsidR="00000000" w:rsidRPr="00B421AB" w:rsidP="00B421AB">
      <w:pPr>
        <w:pStyle w:val="AllowPageBreak"/>
      </w:pPr>
    </w:p>
    <w:p w:rsidR="00000000" w:rsidRPr="00B421AB" w:rsidP="00B421AB">
      <w:pPr>
        <w:pStyle w:val="Heading1"/>
      </w:pPr>
      <w:bookmarkStart w:id="6" w:name="O_1173471"/>
      <w:bookmarkEnd w:id="6"/>
      <w:r w:rsidRPr="00B421AB">
        <w:t>Foundation Skills</w:t>
      </w:r>
    </w:p>
    <w:p w:rsidR="00000000" w:rsidRPr="00B421AB" w:rsidP="004E2C67">
      <w:pPr>
        <w:pStyle w:val="BodyText"/>
      </w:pPr>
      <w:r w:rsidRPr="00B421AB">
        <w:t>Foundation skills essential to performance are explicit in the performance criteria of this unit of competency.</w:t>
      </w:r>
    </w:p>
    <w:p w:rsidR="00000000" w:rsidRPr="00B421AB" w:rsidP="00B421AB">
      <w:pPr>
        <w:pStyle w:val="Heading1"/>
      </w:pPr>
      <w:bookmarkStart w:id="7" w:name="O_1173470"/>
      <w:bookmarkEnd w:id="7"/>
      <w:r w:rsidRPr="00B421AB">
        <w:t>Unit Mapping Information</w:t>
      </w:r>
    </w:p>
    <w:p w:rsidR="00000000" w:rsidRPr="00B421AB" w:rsidP="004E2C67">
      <w:pPr>
        <w:pStyle w:val="BodyText"/>
      </w:pPr>
      <w:r w:rsidRPr="00B421AB">
        <w:t>Supersedes and is equivalent to CPPACC6003A Apply unjustifiable hardship principle</w:t>
      </w:r>
      <w:r w:rsidRPr="00B421AB">
        <w:t>s to Alternative Building Solutions for access.</w:t>
      </w:r>
    </w:p>
    <w:p w:rsidR="00000000" w:rsidRPr="00B421AB" w:rsidP="00B421AB">
      <w:pPr>
        <w:pStyle w:val="Heading1"/>
      </w:pPr>
      <w:bookmarkStart w:id="8" w:name="O_1173463"/>
      <w:bookmarkEnd w:id="8"/>
      <w:r w:rsidRPr="00B421AB">
        <w:t>Links</w:t>
      </w:r>
    </w:p>
    <w:p w:rsidR="00000000" w:rsidRPr="00B421AB" w:rsidP="004E2C67">
      <w:pPr>
        <w:pStyle w:val="BodyText"/>
      </w:pPr>
      <w:r w:rsidRPr="00B421AB">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05411D">
        <w:rPr>
          <w:rStyle w:val="Hyperlink"/>
        </w:rPr>
        <w:t>https://vetnet.gov.au/Pages/TrainingDocs.aspx?q=6f3f9672-30e8-4835-b348-205dfcf13d9b</w:t>
      </w:r>
      <w:r>
        <w:fldChar w:fldCharType="end"/>
      </w:r>
    </w:p>
    <w:p w:rsidR="00000000" w:rsidRPr="00B421AB" w:rsidP="00B421AB"/>
    <w:sectPr w:rsidSect="00B421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1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1AB" w:rsidRPr="004E2C67" w:rsidP="004E2C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1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C67" w:rsidP="00B421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2C67" w:rsidP="00B421A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4E2C67" w:rsidP="00B421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1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C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21AB" w:rsidRPr="004E2C67" w:rsidP="004E2C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1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C67" w:rsidRPr="002D2AF8" w:rsidP="00B421AB">
    <w:pPr>
      <w:pStyle w:val="Header"/>
      <w:framePr w:wrap="around"/>
    </w:pPr>
    <w:r>
      <w:fldChar w:fldCharType="begin"/>
    </w:r>
    <w:r>
      <w:instrText xml:space="preserve"> TITLE   \* MERGEFORMAT </w:instrText>
    </w:r>
    <w:r>
      <w:fldChar w:fldCharType="separate"/>
    </w:r>
    <w:r>
      <w:t>CPPACC6003 Apply unjustifiable hardship principles to assess solutions for access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4E2C67" w:rsidP="00B421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1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21AB"/>
    <w:pPr>
      <w:spacing w:before="360" w:after="60"/>
      <w:outlineLvl w:val="0"/>
    </w:pPr>
    <w:rPr>
      <w:sz w:val="32"/>
    </w:rPr>
  </w:style>
  <w:style w:type="paragraph" w:styleId="Heading2">
    <w:name w:val="heading 2"/>
    <w:basedOn w:val="HeadingBase"/>
    <w:next w:val="BodyText"/>
    <w:link w:val="Heading2Char"/>
    <w:qFormat/>
    <w:rsid w:val="00B421AB"/>
    <w:pPr>
      <w:keepLines/>
      <w:spacing w:before="240" w:after="120"/>
      <w:outlineLvl w:val="1"/>
    </w:pPr>
    <w:rPr>
      <w:sz w:val="28"/>
      <w:szCs w:val="40"/>
    </w:rPr>
  </w:style>
  <w:style w:type="paragraph" w:styleId="Heading3">
    <w:name w:val="heading 3"/>
    <w:basedOn w:val="HeadingBase"/>
    <w:next w:val="BodyText"/>
    <w:link w:val="Heading3Char"/>
    <w:qFormat/>
    <w:rsid w:val="00B421AB"/>
    <w:pPr>
      <w:spacing w:before="180" w:after="120"/>
      <w:outlineLvl w:val="2"/>
    </w:pPr>
    <w:rPr>
      <w:spacing w:val="-10"/>
      <w:kern w:val="32"/>
    </w:rPr>
  </w:style>
  <w:style w:type="paragraph" w:styleId="Heading4">
    <w:name w:val="heading 4"/>
    <w:basedOn w:val="HeadingBase"/>
    <w:next w:val="BodyText"/>
    <w:link w:val="Heading4Char"/>
    <w:qFormat/>
    <w:rsid w:val="00B421AB"/>
    <w:pPr>
      <w:spacing w:before="160" w:after="120"/>
      <w:outlineLvl w:val="3"/>
    </w:pPr>
    <w:rPr>
      <w:sz w:val="22"/>
    </w:rPr>
  </w:style>
  <w:style w:type="paragraph" w:styleId="Heading5">
    <w:name w:val="heading 5"/>
    <w:basedOn w:val="HeadingBase"/>
    <w:next w:val="Normal"/>
    <w:link w:val="Heading5Char"/>
    <w:qFormat/>
    <w:rsid w:val="00B421AB"/>
    <w:pPr>
      <w:spacing w:before="80"/>
      <w:outlineLvl w:val="4"/>
    </w:pPr>
    <w:rPr>
      <w:color w:val="918585"/>
      <w:sz w:val="20"/>
    </w:rPr>
  </w:style>
  <w:style w:type="paragraph" w:styleId="Heading6">
    <w:name w:val="heading 6"/>
    <w:basedOn w:val="HeadingBase"/>
    <w:next w:val="Normal"/>
    <w:link w:val="Heading6Char"/>
    <w:qFormat/>
    <w:rsid w:val="00B421AB"/>
    <w:pPr>
      <w:spacing w:before="60"/>
      <w:outlineLvl w:val="5"/>
    </w:pPr>
    <w:rPr>
      <w:color w:val="918585"/>
      <w:sz w:val="20"/>
    </w:rPr>
  </w:style>
  <w:style w:type="paragraph" w:styleId="Heading7">
    <w:name w:val="heading 7"/>
    <w:basedOn w:val="Normal"/>
    <w:next w:val="Normal"/>
    <w:link w:val="Heading7Char"/>
    <w:qFormat/>
    <w:rsid w:val="00B421AB"/>
    <w:pPr>
      <w:ind w:left="720"/>
      <w:outlineLvl w:val="6"/>
    </w:pPr>
    <w:rPr>
      <w:i/>
    </w:rPr>
  </w:style>
  <w:style w:type="paragraph" w:styleId="Heading8">
    <w:name w:val="heading 8"/>
    <w:basedOn w:val="Normal"/>
    <w:next w:val="Normal"/>
    <w:link w:val="Heading8Char"/>
    <w:qFormat/>
    <w:rsid w:val="00B421AB"/>
    <w:pPr>
      <w:ind w:left="720"/>
      <w:outlineLvl w:val="7"/>
    </w:pPr>
    <w:rPr>
      <w:i/>
    </w:rPr>
  </w:style>
  <w:style w:type="paragraph" w:styleId="Heading9">
    <w:name w:val="heading 9"/>
    <w:basedOn w:val="Normal"/>
    <w:next w:val="Normal"/>
    <w:link w:val="Heading9Char"/>
    <w:qFormat/>
    <w:rsid w:val="00B421AB"/>
    <w:pPr>
      <w:ind w:left="720"/>
      <w:outlineLvl w:val="8"/>
    </w:pPr>
    <w:rPr>
      <w:i/>
    </w:rPr>
  </w:style>
  <w:style w:type="character" w:default="1" w:styleId="DefaultParagraphFont">
    <w:name w:val="Default Paragraph Font"/>
    <w:uiPriority w:val="1"/>
    <w:unhideWhenUsed/>
    <w:rsid w:val="00B421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21AB"/>
  </w:style>
  <w:style w:type="character" w:customStyle="1" w:styleId="Heading1Char">
    <w:name w:val="Heading 1 Char"/>
    <w:basedOn w:val="DefaultParagraphFont"/>
    <w:link w:val="Heading1"/>
    <w:rsid w:val="00B421AB"/>
    <w:rPr>
      <w:rFonts w:ascii="Times New Roman" w:eastAsia="Times New Roman" w:hAnsi="Times New Roman" w:cs="Times New Roman"/>
      <w:b/>
      <w:sz w:val="32"/>
      <w:szCs w:val="20"/>
      <w:lang w:eastAsia="en-US"/>
    </w:rPr>
  </w:style>
  <w:style w:type="paragraph" w:styleId="BodyText">
    <w:name w:val="Body Text"/>
    <w:basedOn w:val="Normal"/>
    <w:link w:val="BodyTextChar"/>
    <w:rsid w:val="00B421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21AB"/>
    <w:rPr>
      <w:rFonts w:ascii="Times New Roman" w:eastAsia="Times New Roman" w:hAnsi="Times New Roman" w:cs="Times New Roman"/>
      <w:sz w:val="24"/>
      <w:lang w:eastAsia="en-US"/>
    </w:rPr>
  </w:style>
  <w:style w:type="character" w:styleId="Emphasis">
    <w:name w:val="Emphasis"/>
    <w:basedOn w:val="DefaultParagraphFont"/>
    <w:qFormat/>
    <w:rsid w:val="00B421AB"/>
    <w:rPr>
      <w:i/>
    </w:rPr>
  </w:style>
  <w:style w:type="paragraph" w:customStyle="1" w:styleId="SuperHeading">
    <w:name w:val="SuperHeading"/>
    <w:basedOn w:val="Normal"/>
    <w:rsid w:val="00B421AB"/>
    <w:pPr>
      <w:spacing w:before="240" w:after="120"/>
      <w:outlineLvl w:val="0"/>
    </w:pPr>
    <w:rPr>
      <w:rFonts w:ascii="Times New Roman" w:hAnsi="Times New Roman"/>
      <w:b/>
      <w:sz w:val="32"/>
    </w:rPr>
  </w:style>
  <w:style w:type="paragraph" w:customStyle="1" w:styleId="AllowPageBreak">
    <w:name w:val="AllowPageBreak"/>
    <w:rsid w:val="00B421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21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21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21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21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21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21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21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21AB"/>
    <w:rPr>
      <w:rFonts w:ascii="Courier New" w:eastAsia="Times New Roman" w:hAnsi="Courier New" w:cs="Times New Roman"/>
      <w:i/>
      <w:szCs w:val="20"/>
      <w:lang w:eastAsia="en-US"/>
    </w:rPr>
  </w:style>
  <w:style w:type="paragraph" w:customStyle="1" w:styleId="HeadingBase">
    <w:name w:val="Heading Base"/>
    <w:rsid w:val="00B421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21AB"/>
    <w:pPr>
      <w:tabs>
        <w:tab w:val="right" w:leader="dot" w:pos="9072"/>
      </w:tabs>
      <w:ind w:left="567"/>
    </w:pPr>
    <w:rPr>
      <w:szCs w:val="22"/>
    </w:rPr>
  </w:style>
  <w:style w:type="paragraph" w:customStyle="1" w:styleId="TOCBase">
    <w:name w:val="TOC Base"/>
    <w:rsid w:val="00B421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21AB"/>
    <w:pPr>
      <w:tabs>
        <w:tab w:val="right" w:leader="dot" w:pos="9072"/>
      </w:tabs>
      <w:spacing w:before="40" w:after="40"/>
      <w:ind w:left="284"/>
    </w:pPr>
    <w:rPr>
      <w:rFonts w:ascii="Times New Roman" w:hAnsi="Times New Roman"/>
    </w:rPr>
  </w:style>
  <w:style w:type="paragraph" w:styleId="TOC1">
    <w:name w:val="toc 1"/>
    <w:basedOn w:val="TOCBase"/>
    <w:next w:val="Normal"/>
    <w:rsid w:val="00B421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21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21AB"/>
    <w:rPr>
      <w:rFonts w:ascii="Times New Roman" w:eastAsia="Times New Roman" w:hAnsi="Times New Roman" w:cs="Times New Roman"/>
      <w:sz w:val="16"/>
      <w:lang w:eastAsia="en-US"/>
    </w:rPr>
  </w:style>
  <w:style w:type="paragraph" w:styleId="Title">
    <w:name w:val="Title"/>
    <w:basedOn w:val="HeadingBase"/>
    <w:link w:val="TitleChar"/>
    <w:qFormat/>
    <w:rsid w:val="00B421AB"/>
    <w:pPr>
      <w:spacing w:before="5040"/>
      <w:jc w:val="center"/>
    </w:pPr>
    <w:rPr>
      <w:sz w:val="48"/>
      <w:szCs w:val="72"/>
      <w:lang w:val="en-US"/>
    </w:rPr>
  </w:style>
  <w:style w:type="character" w:customStyle="1" w:styleId="TitleChar">
    <w:name w:val="Title Char"/>
    <w:basedOn w:val="DefaultParagraphFont"/>
    <w:link w:val="Title"/>
    <w:rsid w:val="00B421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21AB"/>
    <w:pPr>
      <w:tabs>
        <w:tab w:val="left" w:pos="3600"/>
        <w:tab w:val="left" w:pos="3958"/>
      </w:tabs>
    </w:pPr>
  </w:style>
  <w:style w:type="paragraph" w:styleId="List">
    <w:name w:val="List"/>
    <w:basedOn w:val="BodyText"/>
    <w:next w:val="BodyText"/>
    <w:rsid w:val="00B421AB"/>
    <w:pPr>
      <w:tabs>
        <w:tab w:val="left" w:pos="340"/>
      </w:tabs>
      <w:spacing w:before="60" w:after="60"/>
      <w:ind w:left="340" w:hanging="340"/>
    </w:pPr>
  </w:style>
  <w:style w:type="paragraph" w:styleId="ListBullet">
    <w:name w:val="List Bullet"/>
    <w:basedOn w:val="List"/>
    <w:rsid w:val="00B421AB"/>
    <w:pPr>
      <w:numPr>
        <w:numId w:val="10"/>
      </w:numPr>
      <w:tabs>
        <w:tab w:val="clear" w:pos="340"/>
      </w:tabs>
      <w:spacing w:before="40" w:after="40"/>
    </w:pPr>
  </w:style>
  <w:style w:type="paragraph" w:customStyle="1" w:styleId="Note">
    <w:name w:val="Note"/>
    <w:basedOn w:val="BodyText"/>
    <w:rsid w:val="00B421A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421AB"/>
    <w:rPr>
      <w:b/>
      <w:spacing w:val="0"/>
    </w:rPr>
  </w:style>
  <w:style w:type="paragraph" w:customStyle="1" w:styleId="SuperTitle">
    <w:name w:val="SuperTitle"/>
    <w:basedOn w:val="Title"/>
    <w:rsid w:val="00B421AB"/>
    <w:pPr>
      <w:framePr w:wrap="auto" w:hAnchor="text" w:y="6049"/>
    </w:pPr>
    <w:rPr>
      <w:color w:val="000000"/>
      <w:sz w:val="40"/>
    </w:rPr>
  </w:style>
  <w:style w:type="paragraph" w:customStyle="1" w:styleId="TOCTitle">
    <w:name w:val="TOCTitle"/>
    <w:basedOn w:val="Heading1"/>
    <w:rsid w:val="00B421AB"/>
    <w:pPr>
      <w:spacing w:after="240"/>
      <w:jc w:val="center"/>
      <w:outlineLvl w:val="9"/>
    </w:pPr>
    <w:rPr>
      <w:caps/>
    </w:rPr>
  </w:style>
  <w:style w:type="paragraph" w:customStyle="1" w:styleId="Version">
    <w:name w:val="Version"/>
    <w:rsid w:val="00B421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21AB"/>
    <w:pPr>
      <w:numPr>
        <w:numId w:val="11"/>
      </w:numPr>
      <w:tabs>
        <w:tab w:val="clear" w:pos="680"/>
      </w:tabs>
    </w:pPr>
  </w:style>
  <w:style w:type="paragraph" w:styleId="Index1">
    <w:name w:val="index 1"/>
    <w:basedOn w:val="Normal"/>
    <w:next w:val="Normal"/>
    <w:semiHidden/>
    <w:rsid w:val="00B421AB"/>
    <w:pPr>
      <w:keepNext w:val="0"/>
      <w:tabs>
        <w:tab w:val="right" w:pos="4176"/>
      </w:tabs>
      <w:ind w:left="198" w:hanging="198"/>
    </w:pPr>
    <w:rPr>
      <w:rFonts w:ascii="Garamond" w:hAnsi="Garamond"/>
    </w:rPr>
  </w:style>
  <w:style w:type="paragraph" w:styleId="IndexHeading">
    <w:name w:val="index heading"/>
    <w:basedOn w:val="Normal"/>
    <w:next w:val="Index1"/>
    <w:semiHidden/>
    <w:rsid w:val="00B421AB"/>
    <w:pPr>
      <w:spacing w:before="120" w:after="120"/>
    </w:pPr>
    <w:rPr>
      <w:rFonts w:ascii="Arial" w:hAnsi="Arial"/>
      <w:b/>
      <w:color w:val="918585"/>
      <w:sz w:val="24"/>
    </w:rPr>
  </w:style>
  <w:style w:type="paragraph" w:styleId="Header">
    <w:name w:val="header"/>
    <w:basedOn w:val="Normal"/>
    <w:link w:val="HeaderChar"/>
    <w:rsid w:val="00B421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21AB"/>
    <w:rPr>
      <w:rFonts w:ascii="Times New Roman" w:eastAsia="Times New Roman" w:hAnsi="Times New Roman" w:cs="Times New Roman"/>
      <w:sz w:val="16"/>
      <w:szCs w:val="20"/>
      <w:lang w:val="en-GB" w:eastAsia="en-US"/>
    </w:rPr>
  </w:style>
  <w:style w:type="paragraph" w:customStyle="1" w:styleId="Chapter">
    <w:name w:val="Chapter"/>
    <w:basedOn w:val="Normal"/>
    <w:rsid w:val="00B421AB"/>
    <w:pPr>
      <w:spacing w:before="240"/>
    </w:pPr>
    <w:rPr>
      <w:rFonts w:ascii="Times New Roman" w:hAnsi="Times New Roman"/>
      <w:smallCaps/>
      <w:spacing w:val="80"/>
      <w:sz w:val="28"/>
    </w:rPr>
  </w:style>
  <w:style w:type="paragraph" w:customStyle="1" w:styleId="InChapter">
    <w:name w:val="InChapter"/>
    <w:basedOn w:val="Heading3"/>
    <w:rsid w:val="00B421AB"/>
    <w:pPr>
      <w:spacing w:after="240"/>
      <w:outlineLvl w:val="9"/>
    </w:pPr>
    <w:rPr>
      <w:noProof/>
    </w:rPr>
  </w:style>
  <w:style w:type="paragraph" w:styleId="Index2">
    <w:name w:val="index 2"/>
    <w:basedOn w:val="Normal"/>
    <w:next w:val="Normal"/>
    <w:semiHidden/>
    <w:rsid w:val="00B421AB"/>
    <w:pPr>
      <w:tabs>
        <w:tab w:val="right" w:pos="4176"/>
      </w:tabs>
      <w:ind w:left="568" w:hanging="284"/>
    </w:pPr>
    <w:rPr>
      <w:rFonts w:ascii="Garamond" w:hAnsi="Garamond"/>
    </w:rPr>
  </w:style>
  <w:style w:type="paragraph" w:customStyle="1" w:styleId="Byline">
    <w:name w:val="Byline"/>
    <w:rsid w:val="00B421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21AB"/>
    <w:pPr>
      <w:tabs>
        <w:tab w:val="clear" w:pos="3600"/>
        <w:tab w:val="clear" w:pos="3958"/>
      </w:tabs>
      <w:jc w:val="right"/>
    </w:pPr>
  </w:style>
  <w:style w:type="paragraph" w:styleId="Caption">
    <w:name w:val="caption"/>
    <w:basedOn w:val="BodyText"/>
    <w:next w:val="Normal"/>
    <w:qFormat/>
    <w:rsid w:val="00B421AB"/>
    <w:pPr>
      <w:framePr w:w="2268" w:hSpace="181" w:vSpace="181" w:wrap="around" w:vAnchor="text" w:hAnchor="page" w:x="1135" w:y="285" w:anchorLock="1"/>
    </w:pPr>
    <w:rPr>
      <w:i/>
    </w:rPr>
  </w:style>
  <w:style w:type="paragraph" w:customStyle="1" w:styleId="MiniTOCTitle">
    <w:name w:val="MiniTOCTitle"/>
    <w:basedOn w:val="Heading4"/>
    <w:rsid w:val="00B421AB"/>
    <w:pPr>
      <w:spacing w:before="240"/>
      <w:outlineLvl w:val="9"/>
    </w:pPr>
    <w:rPr>
      <w:noProof/>
      <w:sz w:val="24"/>
    </w:rPr>
  </w:style>
  <w:style w:type="paragraph" w:customStyle="1" w:styleId="MiniTOCItem">
    <w:name w:val="MiniTOCItem"/>
    <w:basedOn w:val="ListBullet"/>
    <w:rsid w:val="00B421AB"/>
    <w:pPr>
      <w:numPr>
        <w:numId w:val="0"/>
      </w:numPr>
      <w:tabs>
        <w:tab w:val="right" w:leader="dot" w:pos="6521"/>
      </w:tabs>
      <w:spacing w:before="0" w:after="0"/>
    </w:pPr>
  </w:style>
  <w:style w:type="paragraph" w:customStyle="1" w:styleId="TOFTitle">
    <w:name w:val="TOFTitle"/>
    <w:basedOn w:val="TOCTitle"/>
    <w:rsid w:val="00B421AB"/>
  </w:style>
  <w:style w:type="paragraph" w:styleId="TableofFigures">
    <w:name w:val="table of figures"/>
    <w:basedOn w:val="Normal"/>
    <w:next w:val="Normal"/>
    <w:semiHidden/>
    <w:rsid w:val="00B421AB"/>
    <w:pPr>
      <w:tabs>
        <w:tab w:val="right" w:leader="dot" w:pos="9072"/>
      </w:tabs>
      <w:ind w:left="970" w:hanging="403"/>
    </w:pPr>
    <w:rPr>
      <w:rFonts w:ascii="Times New Roman" w:hAnsi="Times New Roman"/>
      <w:b/>
    </w:rPr>
  </w:style>
  <w:style w:type="paragraph" w:styleId="ListNumber">
    <w:name w:val="List Number"/>
    <w:basedOn w:val="List"/>
    <w:rsid w:val="00B421AB"/>
    <w:pPr>
      <w:numPr>
        <w:numId w:val="13"/>
      </w:numPr>
      <w:tabs>
        <w:tab w:val="clear" w:pos="340"/>
      </w:tabs>
    </w:pPr>
  </w:style>
  <w:style w:type="character" w:customStyle="1" w:styleId="WingdingSymbols">
    <w:name w:val="Wingding Symbols"/>
    <w:rsid w:val="00B421AB"/>
    <w:rPr>
      <w:rFonts w:ascii="Wingdings" w:hAnsi="Wingdings"/>
    </w:rPr>
  </w:style>
  <w:style w:type="paragraph" w:customStyle="1" w:styleId="TableHeading">
    <w:name w:val="Table Heading"/>
    <w:basedOn w:val="HeadingBase"/>
    <w:rsid w:val="00B421AB"/>
    <w:pPr>
      <w:keepLines/>
      <w:pBdr>
        <w:bottom w:val="single" w:sz="6" w:space="1" w:color="918585"/>
      </w:pBdr>
      <w:spacing w:before="240"/>
    </w:pPr>
  </w:style>
  <w:style w:type="character" w:customStyle="1" w:styleId="HotSpot">
    <w:name w:val="HotSpot"/>
    <w:rsid w:val="00B421AB"/>
    <w:rPr>
      <w:color w:val="0033CC"/>
      <w:u w:val="none"/>
    </w:rPr>
  </w:style>
  <w:style w:type="paragraph" w:customStyle="1" w:styleId="BodyTextRight">
    <w:name w:val="Body Text Right"/>
    <w:basedOn w:val="BodyText"/>
    <w:rsid w:val="00B421AB"/>
    <w:pPr>
      <w:spacing w:before="0" w:after="0"/>
      <w:jc w:val="right"/>
    </w:pPr>
  </w:style>
  <w:style w:type="paragraph" w:styleId="Index3">
    <w:name w:val="index 3"/>
    <w:basedOn w:val="ListNumber2"/>
    <w:next w:val="Normal"/>
    <w:semiHidden/>
    <w:rsid w:val="00B421AB"/>
    <w:pPr>
      <w:numPr>
        <w:numId w:val="0"/>
      </w:numPr>
      <w:tabs>
        <w:tab w:val="right" w:leader="dot" w:pos="4176"/>
      </w:tabs>
    </w:pPr>
  </w:style>
  <w:style w:type="paragraph" w:styleId="ListNumber2">
    <w:name w:val="List Number 2"/>
    <w:basedOn w:val="List2"/>
    <w:rsid w:val="00B421AB"/>
    <w:pPr>
      <w:numPr>
        <w:numId w:val="8"/>
      </w:numPr>
      <w:tabs>
        <w:tab w:val="clear" w:pos="1060"/>
      </w:tabs>
    </w:pPr>
  </w:style>
  <w:style w:type="paragraph" w:customStyle="1" w:styleId="MarginNote">
    <w:name w:val="Margin Note"/>
    <w:basedOn w:val="BodyText"/>
    <w:rsid w:val="00B421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21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21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21AB"/>
    <w:rPr>
      <w:sz w:val="32"/>
    </w:rPr>
  </w:style>
  <w:style w:type="paragraph" w:customStyle="1" w:styleId="HeadingProcedure">
    <w:name w:val="Heading Procedure"/>
    <w:basedOn w:val="HeadingBase"/>
    <w:next w:val="Normal"/>
    <w:rsid w:val="00B421AB"/>
    <w:pPr>
      <w:tabs>
        <w:tab w:val="left" w:pos="0"/>
      </w:tabs>
      <w:spacing w:before="120" w:after="60"/>
    </w:pPr>
    <w:rPr>
      <w:i/>
      <w:color w:val="918585"/>
      <w:sz w:val="22"/>
    </w:rPr>
  </w:style>
  <w:style w:type="paragraph" w:customStyle="1" w:styleId="TableBodyText">
    <w:name w:val="Table Body Text"/>
    <w:basedOn w:val="BodyText"/>
    <w:rsid w:val="00B421AB"/>
    <w:pPr>
      <w:spacing w:before="60" w:after="60"/>
    </w:pPr>
  </w:style>
  <w:style w:type="paragraph" w:styleId="ListContinue">
    <w:name w:val="List Continue"/>
    <w:basedOn w:val="List"/>
    <w:rsid w:val="00B421AB"/>
    <w:pPr>
      <w:ind w:firstLine="0"/>
    </w:pPr>
  </w:style>
  <w:style w:type="paragraph" w:customStyle="1" w:styleId="ListNote">
    <w:name w:val="List Note"/>
    <w:basedOn w:val="List"/>
    <w:rsid w:val="00B421AB"/>
    <w:pPr>
      <w:pBdr>
        <w:top w:val="single" w:sz="6" w:space="2" w:color="918585"/>
        <w:bottom w:val="single" w:sz="6" w:space="2" w:color="918585"/>
      </w:pBdr>
      <w:tabs>
        <w:tab w:val="left" w:pos="1021"/>
      </w:tabs>
      <w:ind w:firstLine="0"/>
    </w:pPr>
  </w:style>
  <w:style w:type="paragraph" w:customStyle="1" w:styleId="Warning">
    <w:name w:val="Warning"/>
    <w:basedOn w:val="BodyText"/>
    <w:rsid w:val="00B421AB"/>
    <w:pPr>
      <w:shd w:val="clear" w:color="auto" w:fill="D9D9D9"/>
      <w:tabs>
        <w:tab w:val="left" w:pos="992"/>
      </w:tabs>
      <w:ind w:left="119" w:right="119"/>
    </w:pPr>
    <w:rPr>
      <w:sz w:val="20"/>
    </w:rPr>
  </w:style>
  <w:style w:type="paragraph" w:customStyle="1" w:styleId="MarginIcons">
    <w:name w:val="Margin Icons"/>
    <w:basedOn w:val="BodyText"/>
    <w:rsid w:val="00B421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21AB"/>
    <w:rPr>
      <w:rFonts w:ascii="Courier New" w:hAnsi="Courier New"/>
    </w:rPr>
  </w:style>
  <w:style w:type="paragraph" w:customStyle="1" w:styleId="NoteBullet">
    <w:name w:val="Note Bullet"/>
    <w:basedOn w:val="Note"/>
    <w:rsid w:val="00B421AB"/>
    <w:pPr>
      <w:tabs>
        <w:tab w:val="clear" w:pos="680"/>
      </w:tabs>
      <w:spacing w:before="60" w:after="60"/>
    </w:pPr>
  </w:style>
  <w:style w:type="paragraph" w:customStyle="1" w:styleId="SubHeading2">
    <w:name w:val="SubHeading2"/>
    <w:basedOn w:val="HeadingBase"/>
    <w:rsid w:val="00B421AB"/>
    <w:pPr>
      <w:spacing w:before="240" w:after="60"/>
    </w:pPr>
    <w:rPr>
      <w:sz w:val="20"/>
    </w:rPr>
  </w:style>
  <w:style w:type="paragraph" w:customStyle="1" w:styleId="SubHeading1">
    <w:name w:val="SubHeading1"/>
    <w:basedOn w:val="HeadingBase"/>
    <w:rsid w:val="00B421AB"/>
    <w:pPr>
      <w:spacing w:before="240" w:after="60"/>
    </w:pPr>
    <w:rPr>
      <w:color w:val="918585"/>
      <w:sz w:val="22"/>
    </w:rPr>
  </w:style>
  <w:style w:type="paragraph" w:customStyle="1" w:styleId="SideHeading">
    <w:name w:val="Side Heading"/>
    <w:basedOn w:val="HeadingBase"/>
    <w:rsid w:val="00B421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21AB"/>
    <w:pPr>
      <w:numPr>
        <w:numId w:val="9"/>
      </w:numPr>
    </w:pPr>
  </w:style>
  <w:style w:type="paragraph" w:styleId="PlainText">
    <w:name w:val="Plain Text"/>
    <w:basedOn w:val="Normal"/>
    <w:link w:val="PlainTextChar"/>
    <w:rsid w:val="00B421AB"/>
    <w:rPr>
      <w:sz w:val="20"/>
    </w:rPr>
  </w:style>
  <w:style w:type="character" w:customStyle="1" w:styleId="PlainTextChar">
    <w:name w:val="Plain Text Char"/>
    <w:basedOn w:val="DefaultParagraphFont"/>
    <w:link w:val="PlainText"/>
    <w:rsid w:val="00B421AB"/>
    <w:rPr>
      <w:rFonts w:ascii="Courier New" w:eastAsia="Times New Roman" w:hAnsi="Courier New" w:cs="Times New Roman"/>
      <w:sz w:val="20"/>
      <w:szCs w:val="20"/>
      <w:lang w:eastAsia="en-US"/>
    </w:rPr>
  </w:style>
  <w:style w:type="character" w:customStyle="1" w:styleId="MenuOption">
    <w:name w:val="Menu Option"/>
    <w:basedOn w:val="DefaultParagraphFont"/>
    <w:rsid w:val="00B421AB"/>
    <w:rPr>
      <w:b/>
      <w:smallCaps/>
    </w:rPr>
  </w:style>
  <w:style w:type="paragraph" w:customStyle="1" w:styleId="TableListNumber">
    <w:name w:val="Table List Number"/>
    <w:basedOn w:val="ListNumber"/>
    <w:rsid w:val="00B421AB"/>
    <w:pPr>
      <w:numPr>
        <w:numId w:val="0"/>
      </w:numPr>
    </w:pPr>
  </w:style>
  <w:style w:type="paragraph" w:styleId="TOC4">
    <w:name w:val="toc 4"/>
    <w:basedOn w:val="TOCBase"/>
    <w:next w:val="Normal"/>
    <w:semiHidden/>
    <w:rsid w:val="00B421AB"/>
    <w:pPr>
      <w:tabs>
        <w:tab w:val="right" w:leader="dot" w:pos="9071"/>
      </w:tabs>
      <w:ind w:left="1701"/>
    </w:pPr>
  </w:style>
  <w:style w:type="paragraph" w:customStyle="1" w:styleId="ListAlpha">
    <w:name w:val="List Alpha"/>
    <w:basedOn w:val="List"/>
    <w:rsid w:val="00B421AB"/>
    <w:pPr>
      <w:numPr>
        <w:numId w:val="7"/>
      </w:numPr>
    </w:pPr>
  </w:style>
  <w:style w:type="paragraph" w:customStyle="1" w:styleId="ListAlpha2">
    <w:name w:val="List Alpha 2"/>
    <w:basedOn w:val="List2"/>
    <w:rsid w:val="00B421AB"/>
    <w:pPr>
      <w:numPr>
        <w:numId w:val="6"/>
      </w:numPr>
    </w:pPr>
  </w:style>
  <w:style w:type="paragraph" w:styleId="List2">
    <w:name w:val="List 2"/>
    <w:basedOn w:val="BodyText"/>
    <w:rsid w:val="00B421AB"/>
    <w:pPr>
      <w:tabs>
        <w:tab w:val="left" w:pos="680"/>
      </w:tabs>
      <w:spacing w:before="60" w:after="60"/>
      <w:ind w:left="680" w:hanging="340"/>
    </w:pPr>
  </w:style>
  <w:style w:type="paragraph" w:styleId="List3">
    <w:name w:val="List 3"/>
    <w:basedOn w:val="BodyText"/>
    <w:rsid w:val="00B421AB"/>
    <w:pPr>
      <w:tabs>
        <w:tab w:val="left" w:pos="1021"/>
      </w:tabs>
      <w:spacing w:before="60" w:after="60"/>
      <w:ind w:left="1020" w:hanging="340"/>
    </w:pPr>
  </w:style>
  <w:style w:type="paragraph" w:styleId="List4">
    <w:name w:val="List 4"/>
    <w:basedOn w:val="BodyText"/>
    <w:rsid w:val="00B421AB"/>
    <w:pPr>
      <w:tabs>
        <w:tab w:val="left" w:pos="1361"/>
      </w:tabs>
      <w:spacing w:before="60" w:after="60"/>
      <w:ind w:left="1361" w:hanging="340"/>
    </w:pPr>
  </w:style>
  <w:style w:type="paragraph" w:styleId="List5">
    <w:name w:val="List 5"/>
    <w:basedOn w:val="BodyText"/>
    <w:rsid w:val="00B421AB"/>
    <w:pPr>
      <w:tabs>
        <w:tab w:val="left" w:pos="1701"/>
      </w:tabs>
      <w:spacing w:before="60" w:after="60"/>
      <w:ind w:left="1701" w:hanging="340"/>
    </w:pPr>
  </w:style>
  <w:style w:type="paragraph" w:styleId="ListBullet3">
    <w:name w:val="List Bullet 3"/>
    <w:basedOn w:val="List3"/>
    <w:rsid w:val="00B421AB"/>
    <w:pPr>
      <w:numPr>
        <w:numId w:val="12"/>
      </w:numPr>
      <w:tabs>
        <w:tab w:val="clear" w:pos="1021"/>
      </w:tabs>
      <w:ind w:left="1037" w:hanging="357"/>
    </w:pPr>
  </w:style>
  <w:style w:type="paragraph" w:styleId="ListBullet4">
    <w:name w:val="List Bullet 4"/>
    <w:basedOn w:val="List4"/>
    <w:rsid w:val="00B421AB"/>
    <w:pPr>
      <w:numPr>
        <w:numId w:val="1"/>
      </w:numPr>
      <w:tabs>
        <w:tab w:val="clear" w:pos="1361"/>
      </w:tabs>
    </w:pPr>
  </w:style>
  <w:style w:type="paragraph" w:styleId="ListBullet5">
    <w:name w:val="List Bullet 5"/>
    <w:basedOn w:val="List5"/>
    <w:rsid w:val="00B421AB"/>
    <w:pPr>
      <w:numPr>
        <w:numId w:val="2"/>
      </w:numPr>
    </w:pPr>
  </w:style>
  <w:style w:type="paragraph" w:styleId="ListContinue2">
    <w:name w:val="List Continue 2"/>
    <w:basedOn w:val="List2"/>
    <w:rsid w:val="00B421AB"/>
    <w:pPr>
      <w:ind w:firstLine="0"/>
    </w:pPr>
  </w:style>
  <w:style w:type="paragraph" w:styleId="ListContinue3">
    <w:name w:val="List Continue 3"/>
    <w:basedOn w:val="List3"/>
    <w:rsid w:val="00B421AB"/>
    <w:pPr>
      <w:ind w:left="1021" w:firstLine="0"/>
    </w:pPr>
  </w:style>
  <w:style w:type="paragraph" w:styleId="ListContinue4">
    <w:name w:val="List Continue 4"/>
    <w:basedOn w:val="List4"/>
    <w:rsid w:val="00B421AB"/>
    <w:pPr>
      <w:ind w:firstLine="0"/>
    </w:pPr>
  </w:style>
  <w:style w:type="paragraph" w:styleId="ListContinue5">
    <w:name w:val="List Continue 5"/>
    <w:basedOn w:val="List5"/>
    <w:rsid w:val="00B421AB"/>
    <w:pPr>
      <w:ind w:firstLine="0"/>
    </w:pPr>
  </w:style>
  <w:style w:type="paragraph" w:styleId="ListNumber3">
    <w:name w:val="List Number 3"/>
    <w:basedOn w:val="List3"/>
    <w:rsid w:val="00B421AB"/>
    <w:pPr>
      <w:numPr>
        <w:numId w:val="3"/>
      </w:numPr>
    </w:pPr>
  </w:style>
  <w:style w:type="paragraph" w:styleId="ListNumber4">
    <w:name w:val="List Number 4"/>
    <w:basedOn w:val="List4"/>
    <w:rsid w:val="00B421AB"/>
    <w:pPr>
      <w:numPr>
        <w:numId w:val="4"/>
      </w:numPr>
    </w:pPr>
  </w:style>
  <w:style w:type="paragraph" w:styleId="ListNumber5">
    <w:name w:val="List Number 5"/>
    <w:basedOn w:val="List5"/>
    <w:rsid w:val="00B421AB"/>
    <w:pPr>
      <w:numPr>
        <w:numId w:val="5"/>
      </w:numPr>
    </w:pPr>
  </w:style>
  <w:style w:type="paragraph" w:styleId="BlockText">
    <w:name w:val="Block Text"/>
    <w:basedOn w:val="Normal"/>
    <w:rsid w:val="00B421AB"/>
    <w:pPr>
      <w:spacing w:after="120"/>
      <w:ind w:left="1440" w:right="1440"/>
    </w:pPr>
  </w:style>
  <w:style w:type="character" w:customStyle="1" w:styleId="Subscript">
    <w:name w:val="Subscript"/>
    <w:basedOn w:val="DefaultParagraphFont"/>
    <w:rsid w:val="00B421AB"/>
    <w:rPr>
      <w:sz w:val="16"/>
      <w:vertAlign w:val="subscript"/>
    </w:rPr>
  </w:style>
  <w:style w:type="character" w:customStyle="1" w:styleId="Superscript">
    <w:name w:val="Superscript"/>
    <w:basedOn w:val="DefaultParagraphFont"/>
    <w:rsid w:val="00B421AB"/>
    <w:rPr>
      <w:sz w:val="16"/>
      <w:vertAlign w:val="superscript"/>
    </w:rPr>
  </w:style>
  <w:style w:type="character" w:customStyle="1" w:styleId="Symbols">
    <w:name w:val="Symbols"/>
    <w:basedOn w:val="DefaultParagraphFont"/>
    <w:rsid w:val="00B421AB"/>
    <w:rPr>
      <w:rFonts w:ascii="Symbol" w:hAnsi="Symbol"/>
    </w:rPr>
  </w:style>
  <w:style w:type="character" w:customStyle="1" w:styleId="MenuOptions">
    <w:name w:val="Menu Options"/>
    <w:basedOn w:val="DefaultParagraphFont"/>
    <w:rsid w:val="00B421AB"/>
    <w:rPr>
      <w:rFonts w:ascii="Arial Narrow" w:hAnsi="Arial Narrow"/>
      <w:smallCaps/>
    </w:rPr>
  </w:style>
  <w:style w:type="character" w:customStyle="1" w:styleId="Buttons">
    <w:name w:val="Buttons"/>
    <w:basedOn w:val="DefaultParagraphFont"/>
    <w:rsid w:val="00B421AB"/>
    <w:rPr>
      <w:b/>
    </w:rPr>
  </w:style>
  <w:style w:type="character" w:customStyle="1" w:styleId="Underlined">
    <w:name w:val="Underlined"/>
    <w:basedOn w:val="DefaultParagraphFont"/>
    <w:rsid w:val="00B421AB"/>
    <w:rPr>
      <w:u w:val="single"/>
    </w:rPr>
  </w:style>
  <w:style w:type="paragraph" w:customStyle="1" w:styleId="TableBodyTextRight">
    <w:name w:val="Table Body Text Right"/>
    <w:basedOn w:val="TableBodyText"/>
    <w:rsid w:val="00B421AB"/>
    <w:pPr>
      <w:widowControl w:val="0"/>
      <w:autoSpaceDE w:val="0"/>
      <w:autoSpaceDN w:val="0"/>
      <w:adjustRightInd w:val="0"/>
      <w:jc w:val="right"/>
    </w:pPr>
    <w:rPr>
      <w:rFonts w:cs="Arial"/>
      <w:szCs w:val="18"/>
    </w:rPr>
  </w:style>
  <w:style w:type="paragraph" w:customStyle="1" w:styleId="CopyrightText">
    <w:name w:val="Copyright Text"/>
    <w:basedOn w:val="BodyText"/>
    <w:rsid w:val="00B421AB"/>
    <w:rPr>
      <w:sz w:val="18"/>
    </w:rPr>
  </w:style>
  <w:style w:type="paragraph" w:customStyle="1" w:styleId="BodySmallRight">
    <w:name w:val="Body Small Right"/>
    <w:basedOn w:val="BodyTextRight"/>
    <w:rsid w:val="00B421AB"/>
    <w:rPr>
      <w:sz w:val="18"/>
      <w:szCs w:val="18"/>
    </w:rPr>
  </w:style>
  <w:style w:type="paragraph" w:customStyle="1" w:styleId="MarginEdition">
    <w:name w:val="Margin Edition"/>
    <w:basedOn w:val="MarginNote"/>
    <w:rsid w:val="00B421AB"/>
    <w:pPr>
      <w:spacing w:before="0" w:after="0"/>
    </w:pPr>
    <w:rPr>
      <w:rFonts w:ascii="Times New Roman" w:hAnsi="Times New Roman"/>
      <w:color w:val="999999"/>
    </w:rPr>
  </w:style>
  <w:style w:type="paragraph" w:customStyle="1" w:styleId="Spacer">
    <w:name w:val="Spacer"/>
    <w:basedOn w:val="Normal"/>
    <w:rsid w:val="00B421AB"/>
    <w:rPr>
      <w:sz w:val="2"/>
      <w:szCs w:val="2"/>
    </w:rPr>
  </w:style>
  <w:style w:type="character" w:customStyle="1" w:styleId="Small">
    <w:name w:val="Small"/>
    <w:basedOn w:val="DefaultParagraphFont"/>
    <w:rsid w:val="00B421AB"/>
    <w:rPr>
      <w:sz w:val="16"/>
    </w:rPr>
  </w:style>
  <w:style w:type="paragraph" w:customStyle="1" w:styleId="WideTable">
    <w:name w:val="Wide Table"/>
    <w:basedOn w:val="Normal"/>
    <w:rsid w:val="00B421AB"/>
    <w:pPr>
      <w:ind w:left="-1418"/>
    </w:pPr>
    <w:rPr>
      <w:sz w:val="2"/>
      <w:szCs w:val="2"/>
    </w:rPr>
  </w:style>
  <w:style w:type="character" w:styleId="PageNumber">
    <w:name w:val="page number"/>
    <w:basedOn w:val="DefaultParagraphFont"/>
    <w:rsid w:val="00B421AB"/>
  </w:style>
  <w:style w:type="paragraph" w:styleId="Quote">
    <w:name w:val="Quote"/>
    <w:basedOn w:val="Heading1"/>
    <w:link w:val="QuoteChar"/>
    <w:qFormat/>
    <w:rsid w:val="00B421AB"/>
    <w:rPr>
      <w:b w:val="0"/>
      <w:sz w:val="72"/>
      <w:szCs w:val="72"/>
      <w:lang w:val="en-NZ"/>
    </w:rPr>
  </w:style>
  <w:style w:type="character" w:customStyle="1" w:styleId="QuoteChar">
    <w:name w:val="Quote Char"/>
    <w:basedOn w:val="DefaultParagraphFont"/>
    <w:link w:val="Quote"/>
    <w:rsid w:val="00B421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21AB"/>
    <w:pPr>
      <w:pageBreakBefore/>
    </w:pPr>
  </w:style>
  <w:style w:type="paragraph" w:customStyle="1" w:styleId="Border">
    <w:name w:val="Border"/>
    <w:basedOn w:val="Normal"/>
    <w:qFormat/>
    <w:rsid w:val="00B421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21AB"/>
    <w:rPr>
      <w:b/>
      <w:bCs/>
      <w:i/>
      <w:iCs/>
      <w:color w:val="auto"/>
    </w:rPr>
  </w:style>
  <w:style w:type="paragraph" w:styleId="IntenseQuote">
    <w:name w:val="Intense Quote"/>
    <w:basedOn w:val="Normal"/>
    <w:next w:val="Normal"/>
    <w:link w:val="IntenseQuoteChar"/>
    <w:uiPriority w:val="30"/>
    <w:qFormat/>
    <w:rsid w:val="00B421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21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21AB"/>
    <w:rPr>
      <w:smallCaps/>
      <w:color w:val="auto"/>
      <w:u w:val="single"/>
    </w:rPr>
  </w:style>
  <w:style w:type="character" w:styleId="IntenseReference">
    <w:name w:val="Intense Reference"/>
    <w:basedOn w:val="DefaultParagraphFont"/>
    <w:uiPriority w:val="32"/>
    <w:qFormat/>
    <w:rsid w:val="00B421AB"/>
    <w:rPr>
      <w:b/>
      <w:bCs/>
      <w:smallCaps/>
      <w:color w:val="auto"/>
      <w:spacing w:val="5"/>
      <w:u w:val="single"/>
    </w:rPr>
  </w:style>
  <w:style w:type="paragraph" w:customStyle="1" w:styleId="2ColumnHeading">
    <w:name w:val="2Column Heading"/>
    <w:basedOn w:val="BodyText"/>
    <w:qFormat/>
    <w:rsid w:val="00B421AB"/>
    <w:pPr>
      <w:spacing w:after="60"/>
      <w:ind w:left="-2268"/>
    </w:pPr>
    <w:rPr>
      <w:b/>
    </w:rPr>
  </w:style>
  <w:style w:type="paragraph" w:customStyle="1" w:styleId="Heading1TOC">
    <w:name w:val="Heading1 TOC"/>
    <w:basedOn w:val="Normal"/>
    <w:qFormat/>
    <w:rsid w:val="00B421AB"/>
    <w:pPr>
      <w:spacing w:before="240" w:after="120"/>
    </w:pPr>
    <w:rPr>
      <w:rFonts w:ascii="Times New Roman" w:hAnsi="Times New Roman"/>
      <w:b/>
      <w:sz w:val="32"/>
    </w:rPr>
  </w:style>
  <w:style w:type="paragraph" w:customStyle="1" w:styleId="Heading2TOC">
    <w:name w:val="Heading2 TOC"/>
    <w:basedOn w:val="Normal"/>
    <w:qFormat/>
    <w:rsid w:val="00B421AB"/>
    <w:pPr>
      <w:spacing w:before="240" w:after="60"/>
    </w:pPr>
    <w:rPr>
      <w:rFonts w:ascii="Times New Roman" w:hAnsi="Times New Roman"/>
      <w:b/>
      <w:sz w:val="28"/>
    </w:rPr>
  </w:style>
  <w:style w:type="character" w:customStyle="1" w:styleId="Underline">
    <w:name w:val="Underline"/>
    <w:basedOn w:val="DefaultParagraphFont"/>
    <w:qFormat/>
    <w:rsid w:val="00B421AB"/>
    <w:rPr>
      <w:u w:val="single"/>
    </w:rPr>
  </w:style>
  <w:style w:type="character" w:customStyle="1" w:styleId="BoldandItalics">
    <w:name w:val="Bold and Italics"/>
    <w:qFormat/>
    <w:rsid w:val="00B421AB"/>
    <w:rPr>
      <w:b/>
      <w:i/>
      <w:u w:val="none"/>
    </w:rPr>
  </w:style>
  <w:style w:type="paragraph" w:styleId="BalloonText">
    <w:name w:val="Balloon Text"/>
    <w:basedOn w:val="Normal"/>
    <w:link w:val="BalloonTextChar"/>
    <w:rsid w:val="00B421AB"/>
    <w:rPr>
      <w:rFonts w:ascii="Tahoma" w:hAnsi="Tahoma" w:cs="Tahoma"/>
      <w:sz w:val="16"/>
      <w:szCs w:val="16"/>
    </w:rPr>
  </w:style>
  <w:style w:type="character" w:customStyle="1" w:styleId="BalloonTextChar">
    <w:name w:val="Balloon Text Char"/>
    <w:basedOn w:val="DefaultParagraphFont"/>
    <w:link w:val="BalloonText"/>
    <w:rsid w:val="00B421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21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21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21AB"/>
    <w:rPr>
      <w:b/>
      <w:color w:val="660033"/>
      <w:spacing w:val="0"/>
    </w:rPr>
  </w:style>
  <w:style w:type="paragraph" w:customStyle="1" w:styleId="Nameditemlist">
    <w:name w:val="Named item list"/>
    <w:basedOn w:val="BodyText"/>
    <w:qFormat/>
    <w:rsid w:val="00B421AB"/>
    <w:pPr>
      <w:tabs>
        <w:tab w:val="left" w:pos="2835"/>
      </w:tabs>
      <w:ind w:left="2835" w:hanging="2835"/>
    </w:pPr>
  </w:style>
  <w:style w:type="paragraph" w:customStyle="1" w:styleId="BodyTextnopadding">
    <w:name w:val="Body Text no padding"/>
    <w:basedOn w:val="BodyText"/>
    <w:qFormat/>
    <w:rsid w:val="00B421AB"/>
    <w:pPr>
      <w:spacing w:before="0" w:after="0"/>
    </w:pPr>
  </w:style>
  <w:style w:type="paragraph" w:customStyle="1" w:styleId="BodyTextBold">
    <w:name w:val="Body Text Bold"/>
    <w:basedOn w:val="BodyText"/>
    <w:qFormat/>
    <w:rsid w:val="00B421AB"/>
    <w:rPr>
      <w:b/>
    </w:rPr>
  </w:style>
  <w:style w:type="character" w:styleId="Hyperlink">
    <w:name w:val="Hyperlink"/>
    <w:basedOn w:val="DefaultParagraphFont"/>
    <w:uiPriority w:val="99"/>
    <w:unhideWhenUsed/>
    <w:rsid w:val="004E2C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640</Words>
  <Characters>4154</Characters>
  <Application>Microsoft Office Word</Application>
  <DocSecurity>0</DocSecurity>
  <Lines>173</Lines>
  <Paragraphs>78</Paragraphs>
  <ScaleCrop>false</ScaleCrop>
  <Company>Author-it Software Corporation Ltd.</Company>
  <LinksUpToDate>false</LinksUpToDate>
  <CharactersWithSpaces>4716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CPPACC6003 Apply unjustifiable hardship principles to assess solutions for access</dc:title>
  <dc:subject>Approved</dc:subject>
  <dc:creator>BuildSkills Australia</dc:creator>
  <cp:keywords>Release: 1</cp:keywords>
  <dc:description>Review Date: 12 April 2008</dc:description>
  <cp:lastModifiedBy>HSD_TPCMSd.prod</cp:lastModifiedBy>
  <cp:revision>3</cp:revision>
  <dcterms:created xsi:type="dcterms:W3CDTF">2024-12-24T00:56:00Z</dcterms:created>
  <dcterms:modified xsi:type="dcterms:W3CDTF">2024-12-24T00:56:00Z</dcterms:modified>
</cp:coreProperties>
</file>