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068" w:rsidP="001270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CPPACC5018 Provide expert access advice to complainants or respondents</w:t>
      </w:r>
      <w:r>
        <w:fldChar w:fldCharType="end"/>
      </w:r>
    </w:p>
    <w:p w:rsidR="00127068" w:rsidP="00127068">
      <w:pPr>
        <w:pStyle w:val="Version"/>
        <w:sectPr w:rsidSect="00B05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E63" w:rsidP="00B05E63">
      <w:pPr>
        <w:pStyle w:val="SuperHeading"/>
      </w:pPr>
      <w:r w:rsidRPr="00B05E63">
        <w:t>Assessment Requirements for CPPACC5018 Provide expert access advice to complainants or respondents</w:t>
      </w:r>
    </w:p>
    <w:p w:rsidR="00000000" w:rsidRPr="00B05E63" w:rsidP="00B05E63">
      <w:pPr>
        <w:pStyle w:val="Heading1"/>
      </w:pPr>
      <w:bookmarkStart w:id="1" w:name="O_1173380"/>
      <w:bookmarkEnd w:id="1"/>
      <w:r w:rsidRPr="00B05E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05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E63">
            <w:pPr>
              <w:pStyle w:val="BodyText"/>
              <w:rPr>
                <w:lang w:val="en-NZ"/>
              </w:rPr>
            </w:pPr>
            <w:r w:rsidRPr="00B05E6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E63" w:rsidP="00B05E63">
            <w:pPr>
              <w:pStyle w:val="BodyText"/>
            </w:pPr>
            <w:r w:rsidRPr="00B05E63">
              <w:t>This unit first released with CPP Property Services Training Package Release 14.0.</w:t>
            </w:r>
          </w:p>
          <w:p w:rsidR="00000000" w:rsidRPr="00B05E63" w:rsidP="00B05E63">
            <w:pPr>
              <w:pStyle w:val="BodyText"/>
            </w:pPr>
            <w:r w:rsidRPr="00B05E63">
              <w:t>Supersedes and is equivalent to CPPACC5018A Provide expert access advice to a complainant or respondent. Minor change to unit title.</w:t>
            </w:r>
          </w:p>
          <w:p w:rsidR="00000000" w:rsidRPr="00B05E63" w:rsidP="00B05E63">
            <w:pPr>
              <w:pStyle w:val="BodyText"/>
            </w:pPr>
            <w:r w:rsidRPr="00B05E63">
              <w:t xml:space="preserve">Unit updated to meet the Standards for Training Packages 2012. </w:t>
            </w:r>
          </w:p>
        </w:tc>
      </w:tr>
    </w:tbl>
    <w:p w:rsidR="00000000" w:rsidRPr="00B05E63" w:rsidP="00B05E63">
      <w:pPr>
        <w:pStyle w:val="BodyText"/>
      </w:pPr>
    </w:p>
    <w:p w:rsidR="00000000" w:rsidRPr="00B05E63" w:rsidP="00B05E63">
      <w:pPr>
        <w:pStyle w:val="AllowPageBreak"/>
      </w:pPr>
    </w:p>
    <w:p w:rsidR="00000000" w:rsidRPr="00B05E63" w:rsidP="00B05E63">
      <w:pPr>
        <w:pStyle w:val="Heading1"/>
      </w:pPr>
      <w:bookmarkStart w:id="2" w:name="O_1173383"/>
      <w:bookmarkEnd w:id="2"/>
      <w:r w:rsidRPr="00B05E63">
        <w:t>Performance Evidence</w:t>
      </w:r>
    </w:p>
    <w:p w:rsidR="00000000" w:rsidRPr="00B05E63" w:rsidP="00127068">
      <w:pPr>
        <w:pStyle w:val="BodyText"/>
      </w:pPr>
      <w:r w:rsidRPr="00B05E63">
        <w:t>To demonstrate co</w:t>
      </w:r>
      <w:r w:rsidRPr="00B05E63">
        <w:t xml:space="preserve">mpetency, a candidate must meet the elements and performance criteria of this unit by providing expert access advice to two different complainants and/or respondents who require advice on their rights and/or obligations under the </w:t>
      </w:r>
      <w:r w:rsidRPr="00B05E63">
        <w:rPr>
          <w:rStyle w:val="Emphasis"/>
        </w:rPr>
        <w:t xml:space="preserve">Disability Discrimination </w:t>
      </w:r>
      <w:r w:rsidRPr="00B05E63">
        <w:rPr>
          <w:rStyle w:val="Emphasis"/>
        </w:rPr>
        <w:t xml:space="preserve">Act 1992 </w:t>
      </w:r>
      <w:r w:rsidRPr="00B05E63">
        <w:t>(DDA) (or its successor).</w:t>
      </w:r>
    </w:p>
    <w:p w:rsidR="00000000" w:rsidRPr="00B05E63" w:rsidP="00B05E63">
      <w:pPr>
        <w:pStyle w:val="Heading1"/>
      </w:pPr>
      <w:bookmarkStart w:id="3" w:name="O_1173382"/>
      <w:bookmarkEnd w:id="3"/>
      <w:r w:rsidRPr="00B05E63">
        <w:t>Knowledge Evidence</w:t>
      </w:r>
    </w:p>
    <w:p w:rsidR="00000000" w:rsidRPr="00B05E63" w:rsidP="00127068">
      <w:pPr>
        <w:pStyle w:val="BodyText"/>
      </w:pPr>
      <w:r w:rsidRPr="00B05E63">
        <w:t>To be competent in this unit, a candidate must demonstrate knowledge of:</w:t>
      </w:r>
    </w:p>
    <w:p w:rsidR="00000000" w:rsidRPr="00B05E63" w:rsidP="00B05E63">
      <w:pPr>
        <w:pStyle w:val="ListBullet"/>
      </w:pPr>
      <w:r w:rsidRPr="00B05E63">
        <w:t>anthropometric and ergonomic principles</w:t>
      </w:r>
    </w:p>
    <w:p w:rsidR="00000000" w:rsidRPr="00B05E63" w:rsidP="00B05E63">
      <w:pPr>
        <w:pStyle w:val="ListBullet"/>
      </w:pPr>
      <w:r w:rsidRPr="00B05E63">
        <w:t>Commonwealth, state and territory legislation, regulations, codes and</w:t>
      </w:r>
      <w:r w:rsidRPr="00B05E63">
        <w:t xml:space="preserve"> standards relevant to access consulting activities and rights and obligations of clients:</w:t>
      </w:r>
    </w:p>
    <w:p w:rsidR="00000000" w:rsidRPr="00B05E63" w:rsidP="00B05E63">
      <w:pPr>
        <w:pStyle w:val="ListBullet2"/>
      </w:pPr>
      <w:r w:rsidRPr="00B05E63">
        <w:t>anti-discrimination and disability discrimination</w:t>
      </w:r>
    </w:p>
    <w:p w:rsidR="00000000" w:rsidRPr="00B05E63" w:rsidP="00B05E63">
      <w:pPr>
        <w:pStyle w:val="ListBullet2"/>
      </w:pPr>
      <w:r w:rsidRPr="00B05E63">
        <w:t>building control including local government regulations and by-laws</w:t>
      </w:r>
    </w:p>
    <w:p w:rsidR="00000000" w:rsidRPr="00B05E63" w:rsidP="00B05E63">
      <w:pPr>
        <w:pStyle w:val="ListBullet2"/>
      </w:pPr>
      <w:r w:rsidRPr="00B05E63">
        <w:t>DDA and related Access to Premises and Transport Standards</w:t>
      </w:r>
    </w:p>
    <w:p w:rsidR="00000000" w:rsidRPr="00B05E63" w:rsidP="00B05E63">
      <w:pPr>
        <w:pStyle w:val="ListBullet2"/>
      </w:pPr>
      <w:r w:rsidRPr="00B05E63">
        <w:t>National Construction Code (NCC) building classifications and access requirements</w:t>
      </w:r>
    </w:p>
    <w:p w:rsidR="00000000" w:rsidRPr="00B05E63" w:rsidP="00B05E63">
      <w:pPr>
        <w:pStyle w:val="ListBullet2"/>
      </w:pPr>
      <w:r w:rsidRPr="00B05E63">
        <w:t>National Disability Insurance Scheme (NDIS) Specialist Disability Accommodation Design Standard (or its successor)</w:t>
      </w:r>
    </w:p>
    <w:p w:rsidR="00000000" w:rsidRPr="00B05E63" w:rsidP="00B05E63">
      <w:pPr>
        <w:pStyle w:val="ListBullet2"/>
      </w:pPr>
      <w:r w:rsidRPr="00B05E63">
        <w:t>Livable Housing Australia Livable Housing Design Guidelines (or its successor)</w:t>
      </w:r>
    </w:p>
    <w:p w:rsidR="00000000" w:rsidRPr="00B05E63" w:rsidP="00B05E63">
      <w:pPr>
        <w:pStyle w:val="ListBullet2"/>
      </w:pPr>
      <w:r w:rsidRPr="00B05E63">
        <w:t>principles of universal design</w:t>
      </w:r>
    </w:p>
    <w:p w:rsidR="00000000" w:rsidRPr="00B05E63" w:rsidP="00B05E63">
      <w:pPr>
        <w:pStyle w:val="ListBullet2"/>
      </w:pPr>
      <w:r w:rsidRPr="00B05E63">
        <w:t xml:space="preserve">privacy and confidentiality </w:t>
      </w:r>
    </w:p>
    <w:p w:rsidR="00000000" w:rsidRPr="00B05E63" w:rsidP="00B05E63">
      <w:pPr>
        <w:pStyle w:val="ListBullet"/>
      </w:pPr>
      <w:r w:rsidRPr="00B05E63">
        <w:t>environmental issues impacting on material selection relevant to advice being provided</w:t>
      </w:r>
    </w:p>
    <w:p w:rsidR="00000000" w:rsidRPr="00B05E63" w:rsidP="00B05E63">
      <w:pPr>
        <w:pStyle w:val="ListBullet"/>
      </w:pPr>
      <w:r w:rsidRPr="00B05E63">
        <w:t>interpersonal communication s</w:t>
      </w:r>
      <w:r w:rsidRPr="00B05E63">
        <w:t>trategies used to effectively relate to people from a range of social, cultural and ethnic backgrounds and with a range of physical and cognitive abilities</w:t>
      </w:r>
    </w:p>
    <w:p w:rsidR="00000000" w:rsidRPr="00B05E63" w:rsidP="00B05E63">
      <w:pPr>
        <w:pStyle w:val="ListBullet"/>
      </w:pPr>
      <w:r w:rsidRPr="00B05E63">
        <w:t>means for seeking judicial or quasi-judicial hearings</w:t>
      </w:r>
    </w:p>
    <w:p w:rsidR="00000000" w:rsidRPr="00B05E63" w:rsidP="00B05E63">
      <w:pPr>
        <w:pStyle w:val="ListBullet"/>
      </w:pPr>
      <w:r w:rsidRPr="00B05E63">
        <w:t>rules of evidence as they relate to expert rep</w:t>
      </w:r>
      <w:r w:rsidRPr="00B05E63">
        <w:t>orts</w:t>
      </w:r>
    </w:p>
    <w:p w:rsidR="00000000" w:rsidRPr="00B05E63" w:rsidP="00B05E63">
      <w:pPr>
        <w:pStyle w:val="ListBullet"/>
      </w:pPr>
      <w:r w:rsidRPr="00B05E63">
        <w:t>types of disability and limitations that each disability places on an individual’s ability to access the environment</w:t>
      </w:r>
    </w:p>
    <w:p w:rsidR="00000000" w:rsidRPr="00B05E63" w:rsidP="00B05E63">
      <w:pPr>
        <w:pStyle w:val="ListBullet"/>
      </w:pPr>
      <w:r w:rsidRPr="00B05E63">
        <w:t>workplace requirements for providing expert access advice to complainants or respondents:</w:t>
      </w:r>
    </w:p>
    <w:p w:rsidR="00000000" w:rsidRPr="00B05E63" w:rsidP="00B05E63">
      <w:pPr>
        <w:pStyle w:val="ListBullet2"/>
      </w:pPr>
      <w:r w:rsidRPr="00B05E63">
        <w:t>documentation and records administration</w:t>
      </w:r>
    </w:p>
    <w:p w:rsidR="00000000" w:rsidRPr="00B05E63" w:rsidP="00B05E63">
      <w:pPr>
        <w:pStyle w:val="ListBullet2"/>
      </w:pPr>
      <w:r w:rsidRPr="00B05E63">
        <w:t>prescribed formats for expert reports that may be used in judicial or quasi-judicial hearings</w:t>
      </w:r>
    </w:p>
    <w:p w:rsidR="00000000" w:rsidRPr="00B05E63" w:rsidP="00B05E63">
      <w:pPr>
        <w:pStyle w:val="ListBullet2"/>
      </w:pPr>
      <w:r w:rsidRPr="00B05E63">
        <w:t>quality</w:t>
      </w:r>
    </w:p>
    <w:p w:rsidR="00000000" w:rsidRPr="00B05E63" w:rsidP="00B05E63">
      <w:pPr>
        <w:pStyle w:val="ListBullet2"/>
      </w:pPr>
      <w:r w:rsidRPr="00B05E63">
        <w:t>work role boundaries - responsibilities, limitations and professional abilities.</w:t>
      </w:r>
    </w:p>
    <w:p w:rsidR="00000000" w:rsidRPr="00B05E63" w:rsidP="00B05E63">
      <w:pPr>
        <w:pStyle w:val="AllowPageBreak"/>
      </w:pPr>
    </w:p>
    <w:p w:rsidR="00000000" w:rsidRPr="00B05E63" w:rsidP="00B05E63">
      <w:pPr>
        <w:pStyle w:val="Heading1"/>
      </w:pPr>
      <w:bookmarkStart w:id="4" w:name="O_1173381"/>
      <w:bookmarkEnd w:id="4"/>
      <w:r w:rsidRPr="00B05E63">
        <w:t>Assessment Conditions</w:t>
      </w:r>
    </w:p>
    <w:p w:rsidR="00000000" w:rsidRPr="00B05E63" w:rsidP="00127068">
      <w:pPr>
        <w:pStyle w:val="BodyText"/>
      </w:pPr>
      <w:r w:rsidRPr="00B05E63">
        <w:t>Assessors must meet the requirem</w:t>
      </w:r>
      <w:r w:rsidRPr="00B05E63">
        <w:t xml:space="preserve">ents for assessors contained in the Standards for Registered Training Organisations. </w:t>
      </w:r>
    </w:p>
    <w:p w:rsidR="00000000" w:rsidRPr="00B05E63" w:rsidP="00127068">
      <w:pPr>
        <w:pStyle w:val="BodyText"/>
      </w:pPr>
      <w:r w:rsidRPr="00B05E63">
        <w:t>Assessment must be conducted in the workplace or a simulated workplace using realistic conditions, materials, activities, responsibilities, procedures, safety requirement</w:t>
      </w:r>
      <w:r w:rsidRPr="00B05E63">
        <w:t>s and environmental considerations.</w:t>
      </w:r>
    </w:p>
    <w:p w:rsidR="00000000" w:rsidRPr="00B05E63" w:rsidP="00127068">
      <w:pPr>
        <w:pStyle w:val="BodyText"/>
      </w:pPr>
      <w:r w:rsidRPr="00B05E63">
        <w:t>Candidates must have access to documentation, information and technologies required to achieve the performance criteria and performance evidence.</w:t>
      </w:r>
    </w:p>
    <w:p w:rsidR="00000000" w:rsidRPr="00B05E63" w:rsidP="00B05E63">
      <w:pPr>
        <w:pStyle w:val="Heading1"/>
      </w:pPr>
      <w:bookmarkStart w:id="5" w:name="O_1173379"/>
      <w:bookmarkEnd w:id="5"/>
      <w:r w:rsidRPr="00B05E63">
        <w:t>Links</w:t>
      </w:r>
    </w:p>
    <w:p w:rsidR="00000000" w:rsidRPr="00B05E63" w:rsidP="00127068">
      <w:pPr>
        <w:pStyle w:val="BodyText"/>
      </w:pPr>
      <w:r w:rsidRPr="00B05E63">
        <w:t>Companion volumes to this training package are av</w:t>
      </w:r>
      <w:r w:rsidRPr="00B05E63">
        <w:t xml:space="preserve">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A051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05E63" w:rsidP="00B05E63"/>
    <w:sectPr w:rsidSect="00B05E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63" w:rsidRPr="00127068" w:rsidP="001270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68" w:rsidP="00B05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7068" w:rsidP="00B05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27068" w:rsidP="00B05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E63" w:rsidRPr="00127068" w:rsidP="001270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68" w:rsidRPr="002D2AF8" w:rsidP="00B05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CPPACC5018 Provide expert access advice to complainants or respondents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27068" w:rsidP="00B05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E80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38F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9002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E63"/>
  </w:style>
  <w:style w:type="character" w:customStyle="1" w:styleId="Heading1Char">
    <w:name w:val="Heading 1 Char"/>
    <w:basedOn w:val="DefaultParagraphFont"/>
    <w:link w:val="Heading1"/>
    <w:rsid w:val="00B05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E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5E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5E63"/>
    <w:rPr>
      <w:i/>
    </w:rPr>
  </w:style>
  <w:style w:type="paragraph" w:customStyle="1" w:styleId="SuperHeading">
    <w:name w:val="SuperHeading"/>
    <w:basedOn w:val="Normal"/>
    <w:rsid w:val="00B05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E63"/>
    <w:rPr>
      <w:b/>
      <w:spacing w:val="0"/>
    </w:rPr>
  </w:style>
  <w:style w:type="paragraph" w:customStyle="1" w:styleId="SuperTitle">
    <w:name w:val="SuperTitle"/>
    <w:basedOn w:val="Title"/>
    <w:rsid w:val="00B05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E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E63"/>
  </w:style>
  <w:style w:type="paragraph" w:styleId="TableofFigures">
    <w:name w:val="table of figures"/>
    <w:basedOn w:val="Normal"/>
    <w:next w:val="Normal"/>
    <w:semiHidden/>
    <w:rsid w:val="00B05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E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5E63"/>
    <w:rPr>
      <w:rFonts w:ascii="Wingdings" w:hAnsi="Wingdings"/>
    </w:rPr>
  </w:style>
  <w:style w:type="paragraph" w:customStyle="1" w:styleId="TableHeading">
    <w:name w:val="Table Heading"/>
    <w:basedOn w:val="HeadingBase"/>
    <w:rsid w:val="00B05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E63"/>
    <w:rPr>
      <w:color w:val="0033CC"/>
      <w:u w:val="none"/>
    </w:rPr>
  </w:style>
  <w:style w:type="paragraph" w:customStyle="1" w:styleId="BodyTextRight">
    <w:name w:val="Body Text Right"/>
    <w:basedOn w:val="BodyText"/>
    <w:rsid w:val="00B05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E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E63"/>
    <w:rPr>
      <w:sz w:val="32"/>
    </w:rPr>
  </w:style>
  <w:style w:type="paragraph" w:customStyle="1" w:styleId="HeadingProcedure">
    <w:name w:val="Heading Procedure"/>
    <w:basedOn w:val="HeadingBase"/>
    <w:next w:val="Normal"/>
    <w:rsid w:val="00B05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E63"/>
    <w:pPr>
      <w:spacing w:before="60" w:after="60"/>
    </w:pPr>
  </w:style>
  <w:style w:type="paragraph" w:styleId="ListContinue">
    <w:name w:val="List Continue"/>
    <w:basedOn w:val="List"/>
    <w:rsid w:val="00B05E63"/>
    <w:pPr>
      <w:ind w:firstLine="0"/>
    </w:pPr>
  </w:style>
  <w:style w:type="paragraph" w:customStyle="1" w:styleId="ListNote">
    <w:name w:val="List Note"/>
    <w:basedOn w:val="List"/>
    <w:rsid w:val="00B05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E63"/>
    <w:rPr>
      <w:rFonts w:ascii="Courier New" w:hAnsi="Courier New"/>
    </w:rPr>
  </w:style>
  <w:style w:type="paragraph" w:customStyle="1" w:styleId="NoteBullet">
    <w:name w:val="Note Bullet"/>
    <w:basedOn w:val="Note"/>
    <w:rsid w:val="00B05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E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E63"/>
    <w:rPr>
      <w:b/>
      <w:smallCaps/>
    </w:rPr>
  </w:style>
  <w:style w:type="paragraph" w:customStyle="1" w:styleId="TableListNumber">
    <w:name w:val="Table List Number"/>
    <w:basedOn w:val="ListNumber"/>
    <w:rsid w:val="00B05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E63"/>
    <w:pPr>
      <w:numPr>
        <w:numId w:val="9"/>
      </w:numPr>
    </w:pPr>
  </w:style>
  <w:style w:type="paragraph" w:customStyle="1" w:styleId="ListAlpha2">
    <w:name w:val="List Alpha 2"/>
    <w:basedOn w:val="List2"/>
    <w:rsid w:val="00B05E63"/>
    <w:pPr>
      <w:numPr>
        <w:numId w:val="8"/>
      </w:numPr>
    </w:pPr>
  </w:style>
  <w:style w:type="paragraph" w:styleId="List2">
    <w:name w:val="List 2"/>
    <w:basedOn w:val="BodyText"/>
    <w:rsid w:val="00B05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E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E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E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E63"/>
    <w:pPr>
      <w:numPr>
        <w:numId w:val="4"/>
      </w:numPr>
    </w:pPr>
  </w:style>
  <w:style w:type="paragraph" w:styleId="ListContinue2">
    <w:name w:val="List Continue 2"/>
    <w:basedOn w:val="List2"/>
    <w:rsid w:val="00B05E63"/>
    <w:pPr>
      <w:ind w:firstLine="0"/>
    </w:pPr>
  </w:style>
  <w:style w:type="paragraph" w:styleId="ListContinue3">
    <w:name w:val="List Continue 3"/>
    <w:basedOn w:val="List3"/>
    <w:rsid w:val="00B05E63"/>
    <w:pPr>
      <w:ind w:left="1021" w:firstLine="0"/>
    </w:pPr>
  </w:style>
  <w:style w:type="paragraph" w:styleId="ListContinue4">
    <w:name w:val="List Continue 4"/>
    <w:basedOn w:val="List4"/>
    <w:rsid w:val="00B05E63"/>
    <w:pPr>
      <w:ind w:firstLine="0"/>
    </w:pPr>
  </w:style>
  <w:style w:type="paragraph" w:styleId="ListContinue5">
    <w:name w:val="List Continue 5"/>
    <w:basedOn w:val="List5"/>
    <w:rsid w:val="00B05E63"/>
    <w:pPr>
      <w:ind w:firstLine="0"/>
    </w:pPr>
  </w:style>
  <w:style w:type="paragraph" w:styleId="ListNumber3">
    <w:name w:val="List Number 3"/>
    <w:basedOn w:val="List3"/>
    <w:rsid w:val="00B05E63"/>
    <w:pPr>
      <w:numPr>
        <w:numId w:val="5"/>
      </w:numPr>
    </w:pPr>
  </w:style>
  <w:style w:type="paragraph" w:styleId="ListNumber4">
    <w:name w:val="List Number 4"/>
    <w:basedOn w:val="List4"/>
    <w:rsid w:val="00B05E63"/>
    <w:pPr>
      <w:numPr>
        <w:numId w:val="6"/>
      </w:numPr>
    </w:pPr>
  </w:style>
  <w:style w:type="paragraph" w:styleId="ListNumber5">
    <w:name w:val="List Number 5"/>
    <w:basedOn w:val="List5"/>
    <w:rsid w:val="00B05E63"/>
    <w:pPr>
      <w:numPr>
        <w:numId w:val="7"/>
      </w:numPr>
    </w:pPr>
  </w:style>
  <w:style w:type="paragraph" w:styleId="BlockText">
    <w:name w:val="Block Text"/>
    <w:basedOn w:val="Normal"/>
    <w:rsid w:val="00B05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E63"/>
    <w:rPr>
      <w:sz w:val="16"/>
      <w:vertAlign w:val="superscript"/>
    </w:rPr>
  </w:style>
  <w:style w:type="character" w:customStyle="1" w:styleId="Symbols">
    <w:name w:val="Symbols"/>
    <w:basedOn w:val="DefaultParagraphFont"/>
    <w:rsid w:val="00B05E63"/>
    <w:rPr>
      <w:rFonts w:ascii="Symbol" w:hAnsi="Symbol"/>
    </w:rPr>
  </w:style>
  <w:style w:type="character" w:customStyle="1" w:styleId="MenuOptions">
    <w:name w:val="Menu Options"/>
    <w:basedOn w:val="DefaultParagraphFont"/>
    <w:rsid w:val="00B05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E63"/>
    <w:rPr>
      <w:b/>
    </w:rPr>
  </w:style>
  <w:style w:type="character" w:customStyle="1" w:styleId="Underlined">
    <w:name w:val="Underlined"/>
    <w:basedOn w:val="DefaultParagraphFont"/>
    <w:rsid w:val="00B05E63"/>
    <w:rPr>
      <w:u w:val="single"/>
    </w:rPr>
  </w:style>
  <w:style w:type="paragraph" w:customStyle="1" w:styleId="TableBodyTextRight">
    <w:name w:val="Table Body Text Right"/>
    <w:basedOn w:val="TableBodyText"/>
    <w:rsid w:val="00B05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E63"/>
    <w:rPr>
      <w:sz w:val="18"/>
    </w:rPr>
  </w:style>
  <w:style w:type="paragraph" w:customStyle="1" w:styleId="BodySmallRight">
    <w:name w:val="Body Small Right"/>
    <w:basedOn w:val="BodyTextRight"/>
    <w:rsid w:val="00B05E63"/>
    <w:rPr>
      <w:sz w:val="18"/>
      <w:szCs w:val="18"/>
    </w:rPr>
  </w:style>
  <w:style w:type="paragraph" w:customStyle="1" w:styleId="MarginEdition">
    <w:name w:val="Margin Edition"/>
    <w:basedOn w:val="MarginNote"/>
    <w:rsid w:val="00B05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E63"/>
    <w:rPr>
      <w:sz w:val="2"/>
      <w:szCs w:val="2"/>
    </w:rPr>
  </w:style>
  <w:style w:type="character" w:customStyle="1" w:styleId="Small">
    <w:name w:val="Small"/>
    <w:basedOn w:val="DefaultParagraphFont"/>
    <w:rsid w:val="00B05E63"/>
    <w:rPr>
      <w:sz w:val="16"/>
    </w:rPr>
  </w:style>
  <w:style w:type="paragraph" w:customStyle="1" w:styleId="WideTable">
    <w:name w:val="Wide Table"/>
    <w:basedOn w:val="Normal"/>
    <w:rsid w:val="00B05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E63"/>
  </w:style>
  <w:style w:type="paragraph" w:styleId="Quote">
    <w:name w:val="Quote"/>
    <w:basedOn w:val="Heading1"/>
    <w:link w:val="QuoteChar"/>
    <w:qFormat/>
    <w:rsid w:val="00B05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E63"/>
    <w:pPr>
      <w:pageBreakBefore/>
    </w:pPr>
  </w:style>
  <w:style w:type="paragraph" w:customStyle="1" w:styleId="Border">
    <w:name w:val="Border"/>
    <w:basedOn w:val="Normal"/>
    <w:qFormat/>
    <w:rsid w:val="00B05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E63"/>
    <w:rPr>
      <w:u w:val="single"/>
    </w:rPr>
  </w:style>
  <w:style w:type="character" w:customStyle="1" w:styleId="BoldandItalics">
    <w:name w:val="Bold and Italics"/>
    <w:qFormat/>
    <w:rsid w:val="00B05E63"/>
    <w:rPr>
      <w:b/>
      <w:i/>
      <w:u w:val="none"/>
    </w:rPr>
  </w:style>
  <w:style w:type="paragraph" w:styleId="BalloonText">
    <w:name w:val="Balloon Text"/>
    <w:basedOn w:val="Normal"/>
    <w:link w:val="BalloonTextChar"/>
    <w:rsid w:val="00B05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E63"/>
    <w:pPr>
      <w:spacing w:before="0" w:after="0"/>
    </w:pPr>
  </w:style>
  <w:style w:type="paragraph" w:customStyle="1" w:styleId="BodyTextBold">
    <w:name w:val="Body Text Bold"/>
    <w:basedOn w:val="BodyText"/>
    <w:qFormat/>
    <w:rsid w:val="00B05E63"/>
    <w:rPr>
      <w:b/>
    </w:rPr>
  </w:style>
  <w:style w:type="character" w:styleId="Hyperlink">
    <w:name w:val="Hyperlink"/>
    <w:basedOn w:val="DefaultParagraphFont"/>
    <w:uiPriority w:val="99"/>
    <w:unhideWhenUsed/>
    <w:rsid w:val="001270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2882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CPPACC5018 Provide expert access advice to complainants or respondents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2022-12-19T06:37:00Z</dcterms:created>
  <dcterms:modified xsi:type="dcterms:W3CDTF">2022-12-19T06:37:00Z</dcterms:modified>
</cp:coreProperties>
</file>