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A1E" w:rsidP="00A72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CPPACC5017 Provide expert access advice on building renovations</w:t>
      </w:r>
      <w:r>
        <w:fldChar w:fldCharType="end"/>
      </w:r>
    </w:p>
    <w:p w:rsidR="00A72A1E" w:rsidP="00A72A1E">
      <w:pPr>
        <w:pStyle w:val="Version"/>
        <w:sectPr w:rsidSect="003C6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3B8" w:rsidP="003C63B8">
      <w:pPr>
        <w:pStyle w:val="SuperHeading"/>
      </w:pPr>
      <w:r w:rsidRPr="003C63B8">
        <w:t>CPPACC5017 Provide expert access advice on building renovations</w:t>
      </w:r>
    </w:p>
    <w:p w:rsidR="00000000" w:rsidRPr="003C63B8" w:rsidP="003C63B8">
      <w:pPr>
        <w:pStyle w:val="Heading1"/>
      </w:pPr>
      <w:bookmarkStart w:id="1" w:name="O_1173367"/>
      <w:bookmarkEnd w:id="1"/>
      <w:r w:rsidRPr="003C6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B8" w:rsidP="003C63B8">
            <w:pPr>
              <w:pStyle w:val="BodyText"/>
            </w:pPr>
            <w:r w:rsidRPr="003C63B8">
              <w:t>This unit first released with CPP Property Services Training Package Release 14.0.</w:t>
            </w:r>
          </w:p>
          <w:p w:rsidR="00000000" w:rsidRPr="003C63B8" w:rsidP="003C63B8">
            <w:pPr>
              <w:pStyle w:val="BodyText"/>
            </w:pPr>
            <w:r w:rsidRPr="003C63B8">
              <w:t>Supersedes and is equivalent to CPPACC5017A Provide expert access advice on building renovations.</w:t>
            </w:r>
          </w:p>
          <w:p w:rsidR="00000000" w:rsidRPr="003C63B8" w:rsidP="003C63B8">
            <w:pPr>
              <w:pStyle w:val="BodyText"/>
            </w:pPr>
            <w:r w:rsidRPr="003C63B8">
              <w:t xml:space="preserve">Unit updated to meet the Standards for Training Packages 2012. </w:t>
            </w:r>
          </w:p>
        </w:tc>
      </w:tr>
    </w:tbl>
    <w:p w:rsidR="00000000" w:rsidRPr="003C63B8" w:rsidP="003C63B8">
      <w:pPr>
        <w:pStyle w:val="BodyText"/>
      </w:pPr>
    </w:p>
    <w:p w:rsidR="00000000" w:rsidRPr="003C63B8" w:rsidP="003C63B8">
      <w:pPr>
        <w:pStyle w:val="AllowPageBreak"/>
      </w:pPr>
    </w:p>
    <w:p w:rsidR="00000000" w:rsidRPr="003C63B8" w:rsidP="003C63B8">
      <w:pPr>
        <w:pStyle w:val="Heading1"/>
      </w:pPr>
      <w:bookmarkStart w:id="2" w:name="O_1173373"/>
      <w:bookmarkEnd w:id="2"/>
      <w:r w:rsidRPr="003C63B8">
        <w:t>Application</w:t>
      </w:r>
    </w:p>
    <w:p w:rsidR="00000000" w:rsidRPr="003C63B8" w:rsidP="00A72A1E">
      <w:pPr>
        <w:pStyle w:val="BodyText"/>
      </w:pPr>
      <w:r w:rsidRPr="003C63B8">
        <w:t>This unit of competency specifies the skills and knowledge re</w:t>
      </w:r>
      <w:r w:rsidRPr="003C63B8">
        <w:t xml:space="preserve">quired to provide expert advice on building renovations to achieve access for people with disability. It includes identifying and evaluating construction methods to ensure compliance with relevant building legislation. </w:t>
      </w:r>
    </w:p>
    <w:p w:rsidR="00000000" w:rsidRPr="003C63B8" w:rsidP="00A72A1E">
      <w:pPr>
        <w:pStyle w:val="BodyText"/>
      </w:pPr>
      <w:r w:rsidRPr="003C63B8">
        <w:t>This unit is for individuals who are</w:t>
      </w:r>
      <w:r w:rsidRPr="003C63B8">
        <w:t xml:space="preserve"> self-directed and have substantial depth of knowledge and skills to make independent judgements in the provision of access consulting services.</w:t>
      </w:r>
    </w:p>
    <w:p w:rsidR="00000000" w:rsidRPr="003C63B8" w:rsidP="00A72A1E">
      <w:pPr>
        <w:pStyle w:val="BodyText"/>
      </w:pPr>
      <w:r w:rsidRPr="003C63B8">
        <w:t>No licensing, legislative or certification requirements apply to this unit at the time of publication.</w:t>
      </w:r>
    </w:p>
    <w:p w:rsidR="00000000" w:rsidRPr="003C63B8" w:rsidP="003C63B8">
      <w:pPr>
        <w:pStyle w:val="Heading1"/>
      </w:pPr>
      <w:bookmarkStart w:id="3" w:name="O_1173372"/>
      <w:bookmarkEnd w:id="3"/>
      <w:r w:rsidRPr="003C63B8">
        <w:t>Pre-requisite Unit</w:t>
      </w:r>
    </w:p>
    <w:p w:rsidR="00000000" w:rsidRPr="003C63B8" w:rsidP="00A72A1E">
      <w:pPr>
        <w:pStyle w:val="BodyText"/>
      </w:pPr>
      <w:r w:rsidRPr="003C63B8">
        <w:t>Nil.</w:t>
      </w:r>
    </w:p>
    <w:p w:rsidR="00000000" w:rsidRPr="003C63B8" w:rsidP="003C63B8">
      <w:pPr>
        <w:pStyle w:val="Heading1"/>
      </w:pPr>
      <w:bookmarkStart w:id="4" w:name="O_1173371"/>
      <w:bookmarkEnd w:id="4"/>
      <w:r w:rsidRPr="003C63B8">
        <w:t>Unit Sector</w:t>
      </w:r>
    </w:p>
    <w:p w:rsidR="00000000" w:rsidRPr="003C63B8" w:rsidP="00A72A1E">
      <w:pPr>
        <w:pStyle w:val="BodyText"/>
      </w:pPr>
      <w:r w:rsidRPr="003C63B8">
        <w:t>Access Consulting.</w:t>
      </w:r>
    </w:p>
    <w:p w:rsidR="00000000" w:rsidRPr="003C63B8" w:rsidP="003C63B8">
      <w:pPr>
        <w:pStyle w:val="Heading1"/>
      </w:pPr>
      <w:bookmarkStart w:id="5" w:name="O_1173370"/>
      <w:bookmarkEnd w:id="5"/>
      <w:r w:rsidRPr="003C63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Performance criteria describe what needs to be done to demonstrate achievement of the element.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Confirm areas of building that require renovation to achieve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 xml:space="preserve">Inspect building to identify areas requiring renovation according to regulatory and </w:t>
            </w:r>
            <w:r w:rsidRPr="003C63B8">
              <w:t>workplace requirements.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 xml:space="preserve">Determine construction methodology for undertaking required renovation based on assessment of all aspects of the building’s structure and construction and relevant </w:t>
            </w:r>
            <w:r w:rsidRPr="003C63B8">
              <w:t>building legislation.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Confirm that building construction methodology can accommodate required renovations.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effect of applying identified construction methodology to building against client needs and regulatory requirements for access.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Appl</w:t>
            </w:r>
            <w:r w:rsidRPr="003C63B8">
              <w:t>y National Construction Code (NCC) performance requirements to identify suitable technologies to overcome any adverse effects resulting from the application of the identified construction methodology.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Review pre-existing conditions that impact on building upgrade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and document the impact on accessibility of the building resulting from implementation of the building upgrade plan.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and document the impact of identified suitabl</w:t>
            </w:r>
            <w:r w:rsidRPr="003C63B8">
              <w:t>e technologies on achieving reduced timelines for providing full access to the building.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Consult with relevant persons to report the identified suitable technologies for reducing timelines for required renovations.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Review pre-existing conditions that impact on performance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and document the impact on accessibility of the building result from implementation of the identified performance solutions.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and document the impact of identified technologies on achieving NCC performance requirements for providing full access to the building.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Consult with relevant persons to report the identified suitable technologies to achieve NCC performance re</w:t>
            </w:r>
            <w:r w:rsidRPr="003C63B8">
              <w:t>quirements for providing full access to the building.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Review pre-existing conditions that impact on application for exception to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Analyse and document the impact of allowing the application for exception to the NCC on building accessibility.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Assess and document the impact of identified suitable technologies on overcoming pre-existing conditions to achieve full access to buildi</w:t>
            </w:r>
            <w:r w:rsidRPr="003C63B8">
              <w:t>ng.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Consult with relevant persons to report the identified suitable technologies for overcoming pre-existing conditions to achieve full access to the building.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Develop arguments pertaining to expert judgement and prepare access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Develop and document arguments to demonstrate that identified suitable technologies meet or exceed NCC performance requirements where the identified suitable technologies differ from deemed-to-satisfy (DTS) provisions.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Advise client of suitable technologies for providing renovations that meet or exceed DTS provisions.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Prepare final access report documentation according to contractual and workplace requirements.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 xml:space="preserve">Forward access report documentation to client </w:t>
            </w:r>
            <w:r w:rsidRPr="003C63B8">
              <w:t>according to contractual and workplace requirements.</w:t>
            </w:r>
          </w:p>
        </w:tc>
      </w:tr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B8" w:rsidP="003C63B8">
            <w:pPr>
              <w:pStyle w:val="BodyText"/>
            </w:pPr>
            <w:r w:rsidRPr="003C63B8">
              <w:t>Maintain copies of the access report and associated documentation for future reference according to regulatory and workplace requirements.</w:t>
            </w:r>
          </w:p>
        </w:tc>
      </w:tr>
    </w:tbl>
    <w:p w:rsidR="00000000" w:rsidRPr="003C63B8" w:rsidP="003C63B8">
      <w:pPr>
        <w:pStyle w:val="BodyText"/>
      </w:pPr>
    </w:p>
    <w:p w:rsidR="00000000" w:rsidRPr="003C63B8" w:rsidP="003C63B8">
      <w:pPr>
        <w:pStyle w:val="AllowPageBreak"/>
      </w:pPr>
    </w:p>
    <w:p w:rsidR="00000000" w:rsidRPr="003C63B8" w:rsidP="003C63B8">
      <w:pPr>
        <w:pStyle w:val="Heading1"/>
      </w:pPr>
      <w:bookmarkStart w:id="6" w:name="O_1173369"/>
      <w:bookmarkEnd w:id="6"/>
      <w:r w:rsidRPr="003C63B8">
        <w:t>Foundation Skills</w:t>
      </w:r>
    </w:p>
    <w:p w:rsidR="00000000" w:rsidRPr="003C63B8" w:rsidP="00A72A1E">
      <w:pPr>
        <w:pStyle w:val="BodyText"/>
      </w:pPr>
      <w:r w:rsidRPr="003C63B8">
        <w:t>Foundation skills essential to performance are explicit in the performance criteria of this unit of competency.</w:t>
      </w:r>
    </w:p>
    <w:p w:rsidR="00000000" w:rsidRPr="003C63B8" w:rsidP="003C63B8">
      <w:pPr>
        <w:pStyle w:val="Heading1"/>
      </w:pPr>
      <w:bookmarkStart w:id="7" w:name="O_1173368"/>
      <w:bookmarkEnd w:id="7"/>
      <w:r w:rsidRPr="003C63B8">
        <w:t>Unit Mapping Information</w:t>
      </w:r>
    </w:p>
    <w:p w:rsidR="00000000" w:rsidRPr="003C63B8" w:rsidP="00A72A1E">
      <w:pPr>
        <w:pStyle w:val="BodyText"/>
      </w:pPr>
      <w:r w:rsidRPr="003C63B8">
        <w:t>Supersedes and is equivalent to CPPACC5017A Provide expert access advice on building renovations.</w:t>
      </w:r>
    </w:p>
    <w:p w:rsidR="00000000" w:rsidRPr="003C63B8" w:rsidP="003C63B8">
      <w:pPr>
        <w:pStyle w:val="Heading1"/>
      </w:pPr>
      <w:bookmarkStart w:id="8" w:name="O_1173361"/>
      <w:bookmarkEnd w:id="8"/>
      <w:r w:rsidRPr="003C63B8">
        <w:t>Links</w:t>
      </w:r>
    </w:p>
    <w:p w:rsidR="00000000" w:rsidRPr="003C63B8" w:rsidP="00A72A1E">
      <w:pPr>
        <w:pStyle w:val="BodyText"/>
      </w:pPr>
      <w:r w:rsidRPr="003C63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072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63B8" w:rsidP="00A72A1E">
      <w:pPr>
        <w:pStyle w:val="BodyText"/>
        <w:sectPr w:rsidSect="003C63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3B8" w:rsidP="003C63B8">
      <w:pPr>
        <w:pStyle w:val="SuperHeading"/>
      </w:pPr>
      <w:r w:rsidRPr="003C63B8">
        <w:t xml:space="preserve">Assessment </w:t>
      </w:r>
      <w:r w:rsidRPr="003C63B8">
        <w:t>Requirements for CPPACC5017 Provide expert access advice on building renovations</w:t>
      </w:r>
    </w:p>
    <w:p w:rsidR="00000000" w:rsidRPr="003C63B8" w:rsidP="003C63B8">
      <w:pPr>
        <w:pStyle w:val="Heading1"/>
      </w:pPr>
      <w:bookmarkStart w:id="9" w:name="O_1173363"/>
      <w:bookmarkEnd w:id="9"/>
      <w:r w:rsidRPr="003C6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C6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3B8">
            <w:pPr>
              <w:pStyle w:val="BodyText"/>
              <w:rPr>
                <w:lang w:val="en-NZ"/>
              </w:rPr>
            </w:pPr>
            <w:r w:rsidRPr="003C63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3B8" w:rsidP="003C63B8">
            <w:pPr>
              <w:pStyle w:val="BodyText"/>
            </w:pPr>
            <w:r w:rsidRPr="003C63B8">
              <w:t>This unit first released with CPP Property Services Training Package Release 14.0.</w:t>
            </w:r>
          </w:p>
          <w:p w:rsidR="00000000" w:rsidRPr="003C63B8" w:rsidP="003C63B8">
            <w:pPr>
              <w:pStyle w:val="BodyText"/>
            </w:pPr>
            <w:r w:rsidRPr="003C63B8">
              <w:t>Supersedes and is equivalent to CPPACC5017A</w:t>
            </w:r>
            <w:r w:rsidRPr="003C63B8">
              <w:t xml:space="preserve"> Provide expert access advice on building renovations.</w:t>
            </w:r>
          </w:p>
          <w:p w:rsidR="00000000" w:rsidRPr="003C63B8" w:rsidP="003C63B8">
            <w:pPr>
              <w:pStyle w:val="BodyText"/>
            </w:pPr>
            <w:r w:rsidRPr="003C63B8">
              <w:t xml:space="preserve">Unit updated to meet the Standards for Training Packages 2012. </w:t>
            </w:r>
          </w:p>
        </w:tc>
      </w:tr>
    </w:tbl>
    <w:p w:rsidR="00000000" w:rsidRPr="003C63B8" w:rsidP="003C63B8">
      <w:pPr>
        <w:pStyle w:val="BodyText"/>
      </w:pPr>
    </w:p>
    <w:p w:rsidR="00000000" w:rsidRPr="003C63B8" w:rsidP="003C63B8">
      <w:pPr>
        <w:pStyle w:val="AllowPageBreak"/>
      </w:pPr>
    </w:p>
    <w:p w:rsidR="00000000" w:rsidRPr="003C63B8" w:rsidP="003C63B8">
      <w:pPr>
        <w:pStyle w:val="Heading1"/>
      </w:pPr>
      <w:bookmarkStart w:id="10" w:name="O_1173366"/>
      <w:bookmarkEnd w:id="10"/>
      <w:r w:rsidRPr="003C63B8">
        <w:t>Performance Evidence</w:t>
      </w:r>
    </w:p>
    <w:p w:rsidR="00000000" w:rsidRPr="003C63B8" w:rsidP="00A72A1E">
      <w:pPr>
        <w:pStyle w:val="BodyText"/>
      </w:pPr>
      <w:r w:rsidRPr="003C63B8">
        <w:t xml:space="preserve">To demonstrate competency, a candidate must meet the elements and performance criteria of this </w:t>
      </w:r>
      <w:r w:rsidRPr="003C63B8">
        <w:t>unit by providing expert access advice on building renovations to meet the needs of two different clients.</w:t>
      </w:r>
    </w:p>
    <w:p w:rsidR="00000000" w:rsidRPr="003C63B8" w:rsidP="003C63B8">
      <w:pPr>
        <w:pStyle w:val="Heading1"/>
      </w:pPr>
      <w:bookmarkStart w:id="11" w:name="O_1173365"/>
      <w:bookmarkEnd w:id="11"/>
      <w:r w:rsidRPr="003C63B8">
        <w:t>Knowledge Evidence</w:t>
      </w:r>
    </w:p>
    <w:p w:rsidR="00000000" w:rsidRPr="003C63B8" w:rsidP="00A72A1E">
      <w:pPr>
        <w:pStyle w:val="BodyText"/>
      </w:pPr>
      <w:r w:rsidRPr="003C63B8">
        <w:t>To be competent in this unit, a candidate must demonstrate knowledge of:</w:t>
      </w:r>
    </w:p>
    <w:p w:rsidR="00000000" w:rsidRPr="003C63B8" w:rsidP="003C63B8">
      <w:pPr>
        <w:pStyle w:val="ListBullet"/>
      </w:pPr>
      <w:r w:rsidRPr="003C63B8">
        <w:t>anthropometric and ergonomic principl</w:t>
      </w:r>
      <w:r w:rsidRPr="003C63B8">
        <w:t>es of accessible building design and fitout</w:t>
      </w:r>
    </w:p>
    <w:p w:rsidR="00000000" w:rsidRPr="003C63B8" w:rsidP="003C63B8">
      <w:pPr>
        <w:pStyle w:val="ListBullet"/>
      </w:pPr>
      <w:r w:rsidRPr="003C63B8">
        <w:t>behaviour of structural members undergoing stress, strain, compression or bending</w:t>
      </w:r>
    </w:p>
    <w:p w:rsidR="00000000" w:rsidRPr="003C63B8" w:rsidP="003C63B8">
      <w:pPr>
        <w:pStyle w:val="ListBullet"/>
      </w:pPr>
      <w:r w:rsidRPr="003C63B8">
        <w:t>Commonwealth, state and territory legislation, regulations, codes and standards relevant to access consulting activities:</w:t>
      </w:r>
    </w:p>
    <w:p w:rsidR="00000000" w:rsidRPr="003C63B8" w:rsidP="003C63B8">
      <w:pPr>
        <w:pStyle w:val="ListBullet2"/>
      </w:pPr>
      <w:r w:rsidRPr="003C63B8">
        <w:t>anti-discrimination and disability discrimination</w:t>
      </w:r>
    </w:p>
    <w:p w:rsidR="00000000" w:rsidRPr="003C63B8" w:rsidP="003C63B8">
      <w:pPr>
        <w:pStyle w:val="ListBullet2"/>
      </w:pPr>
      <w:r w:rsidRPr="003C63B8">
        <w:t>building control including local government regulations and by-laws</w:t>
      </w:r>
    </w:p>
    <w:p w:rsidR="00000000" w:rsidRPr="003C63B8" w:rsidP="003C63B8">
      <w:pPr>
        <w:pStyle w:val="ListBullet2"/>
      </w:pPr>
      <w:r w:rsidRPr="003C63B8">
        <w:t>Disability (Access to Premises – Buildings) Standards 2010 under the Disability Discrimination Act 1992 (or their successors) – known as t</w:t>
      </w:r>
      <w:r w:rsidRPr="003C63B8">
        <w:t>he Access to Premises Standards</w:t>
      </w:r>
    </w:p>
    <w:p w:rsidR="00000000" w:rsidRPr="003C63B8" w:rsidP="003C63B8">
      <w:pPr>
        <w:pStyle w:val="ListBullet2"/>
      </w:pPr>
      <w:r w:rsidRPr="003C63B8">
        <w:t>National Construction Code (NCC) building classifications and access requirements</w:t>
      </w:r>
    </w:p>
    <w:p w:rsidR="00000000" w:rsidRPr="003C63B8" w:rsidP="003C63B8">
      <w:pPr>
        <w:pStyle w:val="ListBullet2"/>
      </w:pPr>
      <w:r w:rsidRPr="003C63B8">
        <w:t>National Disability Insurance Scheme (NDIS) Specialist Disability Accommodation Design Standard (or its successor)</w:t>
      </w:r>
    </w:p>
    <w:p w:rsidR="00000000" w:rsidRPr="003C63B8" w:rsidP="003C63B8">
      <w:pPr>
        <w:pStyle w:val="ListBullet2"/>
      </w:pPr>
      <w:r w:rsidRPr="003C63B8">
        <w:t>Livable Housing Australia L</w:t>
      </w:r>
      <w:r w:rsidRPr="003C63B8">
        <w:t>ivable Housing Design Guidelines (or its successor)</w:t>
      </w:r>
    </w:p>
    <w:p w:rsidR="00000000" w:rsidRPr="003C63B8" w:rsidP="003C63B8">
      <w:pPr>
        <w:pStyle w:val="ListBullet2"/>
      </w:pPr>
      <w:r w:rsidRPr="003C63B8">
        <w:t>principles of universal design</w:t>
      </w:r>
    </w:p>
    <w:p w:rsidR="00000000" w:rsidRPr="003C63B8" w:rsidP="003C63B8">
      <w:pPr>
        <w:pStyle w:val="ListBullet2"/>
      </w:pPr>
      <w:r w:rsidRPr="003C63B8">
        <w:t>privacy and confidentiality</w:t>
      </w:r>
    </w:p>
    <w:p w:rsidR="00000000" w:rsidRPr="003C63B8" w:rsidP="003C63B8">
      <w:pPr>
        <w:pStyle w:val="ListBullet"/>
      </w:pPr>
      <w:r w:rsidRPr="003C63B8">
        <w:t>environmental issues impacting on material selection relevant to advice being provided</w:t>
      </w:r>
    </w:p>
    <w:p w:rsidR="00000000" w:rsidRPr="003C63B8" w:rsidP="003C63B8">
      <w:pPr>
        <w:pStyle w:val="ListBullet"/>
      </w:pPr>
      <w:r w:rsidRPr="003C63B8">
        <w:t>functional systems of the human body</w:t>
      </w:r>
    </w:p>
    <w:p w:rsidR="00000000" w:rsidRPr="003C63B8" w:rsidP="003C63B8">
      <w:pPr>
        <w:pStyle w:val="ListBullet"/>
      </w:pPr>
      <w:r w:rsidRPr="003C63B8">
        <w:t>interpersonal commun</w:t>
      </w:r>
      <w:r w:rsidRPr="003C63B8">
        <w:t>ication strategies used to effectively relate to people from a range of social, cultural and ethnic backgrounds and with a range of physical and cognitive abilities</w:t>
      </w:r>
    </w:p>
    <w:p w:rsidR="00000000" w:rsidRPr="003C63B8" w:rsidP="003C63B8">
      <w:pPr>
        <w:pStyle w:val="ListBullet"/>
      </w:pPr>
      <w:r w:rsidRPr="003C63B8">
        <w:t>processes for interpreting reports, working drawings and specifications when providing access advice on building renovations</w:t>
      </w:r>
    </w:p>
    <w:p w:rsidR="00000000" w:rsidRPr="003C63B8" w:rsidP="003C63B8">
      <w:pPr>
        <w:pStyle w:val="ListBullet"/>
      </w:pPr>
      <w:r w:rsidRPr="003C63B8">
        <w:t>role, responsibilities and powers of building certifiers</w:t>
      </w:r>
    </w:p>
    <w:p w:rsidR="00000000" w:rsidRPr="003C63B8" w:rsidP="003C63B8">
      <w:pPr>
        <w:pStyle w:val="ListBullet"/>
      </w:pPr>
      <w:r w:rsidRPr="003C63B8">
        <w:t>types of disability and limitations that each disability places on an indi</w:t>
      </w:r>
      <w:r w:rsidRPr="003C63B8">
        <w:t>vidual’s ability to access the environment</w:t>
      </w:r>
    </w:p>
    <w:p w:rsidR="00000000" w:rsidRPr="003C63B8" w:rsidP="003C63B8">
      <w:pPr>
        <w:pStyle w:val="ListBullet"/>
      </w:pPr>
      <w:r w:rsidRPr="003C63B8">
        <w:t>workplace requirements for providing expert access advice on building renovations:</w:t>
      </w:r>
    </w:p>
    <w:p w:rsidR="00000000" w:rsidRPr="003C63B8" w:rsidP="003C63B8">
      <w:pPr>
        <w:pStyle w:val="ListBullet2"/>
      </w:pPr>
      <w:r w:rsidRPr="003C63B8">
        <w:t>documentation and records administration</w:t>
      </w:r>
    </w:p>
    <w:p w:rsidR="00000000" w:rsidRPr="003C63B8" w:rsidP="003C63B8">
      <w:pPr>
        <w:pStyle w:val="ListBullet2"/>
      </w:pPr>
      <w:r w:rsidRPr="003C63B8">
        <w:t>quality</w:t>
      </w:r>
    </w:p>
    <w:p w:rsidR="00000000" w:rsidRPr="003C63B8" w:rsidP="003C63B8">
      <w:pPr>
        <w:pStyle w:val="ListBullet2"/>
      </w:pPr>
      <w:r w:rsidRPr="003C63B8">
        <w:t>work role boundaries - responsibilities, limitations and professional abilities.</w:t>
      </w:r>
    </w:p>
    <w:p w:rsidR="00000000" w:rsidRPr="003C63B8" w:rsidP="003C63B8">
      <w:pPr>
        <w:pStyle w:val="AllowPageBreak"/>
      </w:pPr>
    </w:p>
    <w:p w:rsidR="00000000" w:rsidRPr="003C63B8" w:rsidP="003C63B8">
      <w:pPr>
        <w:pStyle w:val="Heading1"/>
      </w:pPr>
      <w:bookmarkStart w:id="12" w:name="O_1173364"/>
      <w:bookmarkEnd w:id="12"/>
      <w:r w:rsidRPr="003C63B8">
        <w:t>Assessment Conditions</w:t>
      </w:r>
    </w:p>
    <w:p w:rsidR="00000000" w:rsidRPr="003C63B8" w:rsidP="00A72A1E">
      <w:pPr>
        <w:pStyle w:val="BodyText"/>
      </w:pPr>
      <w:r w:rsidRPr="003C63B8">
        <w:t xml:space="preserve">Assessors must meet the requirements for assessors contained in the Standards for Registered Training Organisations. </w:t>
      </w:r>
    </w:p>
    <w:p w:rsidR="00000000" w:rsidRPr="003C63B8" w:rsidP="00A72A1E">
      <w:pPr>
        <w:pStyle w:val="BodyText"/>
      </w:pPr>
      <w:r w:rsidRPr="003C63B8">
        <w:t>Assessment must be conducted in the workplace or a simulated workplace using realistic condition</w:t>
      </w:r>
      <w:r w:rsidRPr="003C63B8">
        <w:t>s, materials, activities, responsibilities, procedures, safety requirements and environmental considerations.</w:t>
      </w:r>
    </w:p>
    <w:p w:rsidR="00000000" w:rsidRPr="003C63B8" w:rsidP="00A72A1E">
      <w:pPr>
        <w:pStyle w:val="BodyText"/>
      </w:pPr>
      <w:r w:rsidRPr="003C63B8">
        <w:t>Candidates must have access to documentation, information and technologies required to achieve the performance criteria and performance evidence.</w:t>
      </w:r>
    </w:p>
    <w:p w:rsidR="00000000" w:rsidRPr="003C63B8" w:rsidP="003C63B8">
      <w:pPr>
        <w:pStyle w:val="Heading1"/>
      </w:pPr>
      <w:bookmarkStart w:id="13" w:name="O_1173362"/>
      <w:bookmarkEnd w:id="13"/>
      <w:r w:rsidRPr="003C63B8">
        <w:t>Links</w:t>
      </w:r>
    </w:p>
    <w:p w:rsidR="00000000" w:rsidRPr="003C63B8" w:rsidP="00A72A1E">
      <w:pPr>
        <w:pStyle w:val="BodyText"/>
      </w:pPr>
      <w:r w:rsidRPr="003C63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072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63B8" w:rsidP="003C63B8"/>
    <w:sectPr w:rsidSect="003C63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 w:rsidRPr="00A72A1E" w:rsidP="00A72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1E" w:rsidP="003C6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A1E" w:rsidP="003C6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2A1E" w:rsidP="003C63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 w:rsidP="003C6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A1E">
      <w:t>Approved</w:t>
    </w:r>
    <w:r w:rsidR="00A72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A1E">
      <w:rPr>
        <w:noProof/>
      </w:rPr>
      <w:t>4</w:t>
    </w:r>
    <w:r>
      <w:rPr>
        <w:noProof/>
      </w:rPr>
      <w:fldChar w:fldCharType="end"/>
    </w:r>
  </w:p>
  <w:p w:rsidR="003C63B8" w:rsidP="003C6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A1E">
      <w:t>BuildSkills Australia</w:t>
    </w:r>
    <w:r w:rsidR="00A72A1E">
      <w:fldChar w:fldCharType="end"/>
    </w:r>
  </w:p>
  <w:p w:rsidR="003C63B8" w:rsidP="003C6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3B8" w:rsidRPr="00A72A1E" w:rsidP="00A72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1E" w:rsidRPr="002D2AF8" w:rsidP="003C6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CPPACC5017 Provide expert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A1E" w:rsidP="003C63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B8" w:rsidRPr="002D2AF8" w:rsidP="003C6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A1E">
      <w:t>CPPACC5017 Provide expert access advice on building renovations</w:t>
    </w:r>
    <w:r w:rsidR="00A72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A1E">
      <w:rPr>
        <w:noProof/>
      </w:rPr>
      <w:t>2 March 2025</w:t>
    </w:r>
    <w:r>
      <w:fldChar w:fldCharType="end"/>
    </w:r>
  </w:p>
  <w:p w:rsidR="003C63B8" w:rsidP="003C6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E2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68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E0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3B8"/>
  </w:style>
  <w:style w:type="character" w:customStyle="1" w:styleId="Heading1Char">
    <w:name w:val="Heading 1 Char"/>
    <w:basedOn w:val="DefaultParagraphFont"/>
    <w:link w:val="Heading1"/>
    <w:rsid w:val="003C6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3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3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3B8"/>
    <w:rPr>
      <w:b/>
      <w:spacing w:val="0"/>
    </w:rPr>
  </w:style>
  <w:style w:type="paragraph" w:customStyle="1" w:styleId="SuperTitle">
    <w:name w:val="SuperTitle"/>
    <w:basedOn w:val="Title"/>
    <w:rsid w:val="003C6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3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3B8"/>
    <w:rPr>
      <w:i/>
    </w:rPr>
  </w:style>
  <w:style w:type="paragraph" w:styleId="Caption">
    <w:name w:val="caption"/>
    <w:basedOn w:val="BodyText"/>
    <w:next w:val="Normal"/>
    <w:qFormat/>
    <w:rsid w:val="003C6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3B8"/>
  </w:style>
  <w:style w:type="paragraph" w:styleId="TableofFigures">
    <w:name w:val="table of figures"/>
    <w:basedOn w:val="Normal"/>
    <w:next w:val="Normal"/>
    <w:semiHidden/>
    <w:rsid w:val="003C6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3B8"/>
    <w:rPr>
      <w:rFonts w:ascii="Wingdings" w:hAnsi="Wingdings"/>
    </w:rPr>
  </w:style>
  <w:style w:type="paragraph" w:customStyle="1" w:styleId="TableHeading">
    <w:name w:val="Table Heading"/>
    <w:basedOn w:val="HeadingBase"/>
    <w:rsid w:val="003C6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3B8"/>
    <w:rPr>
      <w:color w:val="0033CC"/>
      <w:u w:val="none"/>
    </w:rPr>
  </w:style>
  <w:style w:type="paragraph" w:customStyle="1" w:styleId="BodyTextRight">
    <w:name w:val="Body Text Right"/>
    <w:basedOn w:val="BodyText"/>
    <w:rsid w:val="003C6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3B8"/>
    <w:rPr>
      <w:sz w:val="32"/>
    </w:rPr>
  </w:style>
  <w:style w:type="paragraph" w:customStyle="1" w:styleId="HeadingProcedure">
    <w:name w:val="Heading Procedure"/>
    <w:basedOn w:val="HeadingBase"/>
    <w:next w:val="Normal"/>
    <w:rsid w:val="003C6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3B8"/>
    <w:pPr>
      <w:spacing w:before="60" w:after="60"/>
    </w:pPr>
  </w:style>
  <w:style w:type="paragraph" w:styleId="ListContinue">
    <w:name w:val="List Continue"/>
    <w:basedOn w:val="List"/>
    <w:rsid w:val="003C63B8"/>
    <w:pPr>
      <w:ind w:firstLine="0"/>
    </w:pPr>
  </w:style>
  <w:style w:type="paragraph" w:customStyle="1" w:styleId="ListNote">
    <w:name w:val="List Note"/>
    <w:basedOn w:val="List"/>
    <w:rsid w:val="003C6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3B8"/>
    <w:rPr>
      <w:rFonts w:ascii="Courier New" w:hAnsi="Courier New"/>
    </w:rPr>
  </w:style>
  <w:style w:type="paragraph" w:customStyle="1" w:styleId="NoteBullet">
    <w:name w:val="Note Bullet"/>
    <w:basedOn w:val="Note"/>
    <w:rsid w:val="003C6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3B8"/>
    <w:rPr>
      <w:b/>
      <w:smallCaps/>
    </w:rPr>
  </w:style>
  <w:style w:type="paragraph" w:customStyle="1" w:styleId="TableListNumber">
    <w:name w:val="Table List Number"/>
    <w:basedOn w:val="ListNumber"/>
    <w:rsid w:val="003C6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3B8"/>
    <w:pPr>
      <w:numPr>
        <w:numId w:val="9"/>
      </w:numPr>
    </w:pPr>
  </w:style>
  <w:style w:type="paragraph" w:customStyle="1" w:styleId="ListAlpha2">
    <w:name w:val="List Alpha 2"/>
    <w:basedOn w:val="List2"/>
    <w:rsid w:val="003C63B8"/>
    <w:pPr>
      <w:numPr>
        <w:numId w:val="8"/>
      </w:numPr>
    </w:pPr>
  </w:style>
  <w:style w:type="paragraph" w:styleId="List2">
    <w:name w:val="List 2"/>
    <w:basedOn w:val="BodyText"/>
    <w:rsid w:val="003C6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3B8"/>
    <w:pPr>
      <w:numPr>
        <w:numId w:val="4"/>
      </w:numPr>
    </w:pPr>
  </w:style>
  <w:style w:type="paragraph" w:styleId="ListContinue2">
    <w:name w:val="List Continue 2"/>
    <w:basedOn w:val="List2"/>
    <w:rsid w:val="003C63B8"/>
    <w:pPr>
      <w:ind w:firstLine="0"/>
    </w:pPr>
  </w:style>
  <w:style w:type="paragraph" w:styleId="ListContinue3">
    <w:name w:val="List Continue 3"/>
    <w:basedOn w:val="List3"/>
    <w:rsid w:val="003C63B8"/>
    <w:pPr>
      <w:ind w:left="1021" w:firstLine="0"/>
    </w:pPr>
  </w:style>
  <w:style w:type="paragraph" w:styleId="ListContinue4">
    <w:name w:val="List Continue 4"/>
    <w:basedOn w:val="List4"/>
    <w:rsid w:val="003C63B8"/>
    <w:pPr>
      <w:ind w:firstLine="0"/>
    </w:pPr>
  </w:style>
  <w:style w:type="paragraph" w:styleId="ListContinue5">
    <w:name w:val="List Continue 5"/>
    <w:basedOn w:val="List5"/>
    <w:rsid w:val="003C63B8"/>
    <w:pPr>
      <w:ind w:firstLine="0"/>
    </w:pPr>
  </w:style>
  <w:style w:type="paragraph" w:styleId="ListNumber3">
    <w:name w:val="List Number 3"/>
    <w:basedOn w:val="List3"/>
    <w:rsid w:val="003C63B8"/>
    <w:pPr>
      <w:numPr>
        <w:numId w:val="5"/>
      </w:numPr>
    </w:pPr>
  </w:style>
  <w:style w:type="paragraph" w:styleId="ListNumber4">
    <w:name w:val="List Number 4"/>
    <w:basedOn w:val="List4"/>
    <w:rsid w:val="003C63B8"/>
    <w:pPr>
      <w:numPr>
        <w:numId w:val="6"/>
      </w:numPr>
    </w:pPr>
  </w:style>
  <w:style w:type="paragraph" w:styleId="ListNumber5">
    <w:name w:val="List Number 5"/>
    <w:basedOn w:val="List5"/>
    <w:rsid w:val="003C63B8"/>
    <w:pPr>
      <w:numPr>
        <w:numId w:val="7"/>
      </w:numPr>
    </w:pPr>
  </w:style>
  <w:style w:type="paragraph" w:styleId="BlockText">
    <w:name w:val="Block Text"/>
    <w:basedOn w:val="Normal"/>
    <w:rsid w:val="003C6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3B8"/>
    <w:rPr>
      <w:sz w:val="16"/>
      <w:vertAlign w:val="superscript"/>
    </w:rPr>
  </w:style>
  <w:style w:type="character" w:customStyle="1" w:styleId="Symbols">
    <w:name w:val="Symbols"/>
    <w:basedOn w:val="DefaultParagraphFont"/>
    <w:rsid w:val="003C63B8"/>
    <w:rPr>
      <w:rFonts w:ascii="Symbol" w:hAnsi="Symbol"/>
    </w:rPr>
  </w:style>
  <w:style w:type="character" w:customStyle="1" w:styleId="MenuOptions">
    <w:name w:val="Menu Options"/>
    <w:basedOn w:val="DefaultParagraphFont"/>
    <w:rsid w:val="003C6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3B8"/>
    <w:rPr>
      <w:b/>
    </w:rPr>
  </w:style>
  <w:style w:type="character" w:customStyle="1" w:styleId="Underlined">
    <w:name w:val="Underlined"/>
    <w:basedOn w:val="DefaultParagraphFont"/>
    <w:rsid w:val="003C63B8"/>
    <w:rPr>
      <w:u w:val="single"/>
    </w:rPr>
  </w:style>
  <w:style w:type="paragraph" w:customStyle="1" w:styleId="TableBodyTextRight">
    <w:name w:val="Table Body Text Right"/>
    <w:basedOn w:val="TableBodyText"/>
    <w:rsid w:val="003C6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3B8"/>
    <w:rPr>
      <w:sz w:val="18"/>
    </w:rPr>
  </w:style>
  <w:style w:type="paragraph" w:customStyle="1" w:styleId="BodySmallRight">
    <w:name w:val="Body Small Right"/>
    <w:basedOn w:val="BodyTextRight"/>
    <w:rsid w:val="003C63B8"/>
    <w:rPr>
      <w:sz w:val="18"/>
      <w:szCs w:val="18"/>
    </w:rPr>
  </w:style>
  <w:style w:type="paragraph" w:customStyle="1" w:styleId="MarginEdition">
    <w:name w:val="Margin Edition"/>
    <w:basedOn w:val="MarginNote"/>
    <w:rsid w:val="003C6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3B8"/>
    <w:rPr>
      <w:sz w:val="2"/>
      <w:szCs w:val="2"/>
    </w:rPr>
  </w:style>
  <w:style w:type="character" w:customStyle="1" w:styleId="Small">
    <w:name w:val="Small"/>
    <w:basedOn w:val="DefaultParagraphFont"/>
    <w:rsid w:val="003C63B8"/>
    <w:rPr>
      <w:sz w:val="16"/>
    </w:rPr>
  </w:style>
  <w:style w:type="paragraph" w:customStyle="1" w:styleId="WideTable">
    <w:name w:val="Wide Table"/>
    <w:basedOn w:val="Normal"/>
    <w:rsid w:val="003C6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3B8"/>
  </w:style>
  <w:style w:type="paragraph" w:styleId="Quote">
    <w:name w:val="Quote"/>
    <w:basedOn w:val="Heading1"/>
    <w:link w:val="QuoteChar"/>
    <w:qFormat/>
    <w:rsid w:val="003C6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3B8"/>
    <w:pPr>
      <w:pageBreakBefore/>
    </w:pPr>
  </w:style>
  <w:style w:type="paragraph" w:customStyle="1" w:styleId="Border">
    <w:name w:val="Border"/>
    <w:basedOn w:val="Normal"/>
    <w:qFormat/>
    <w:rsid w:val="003C6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3B8"/>
    <w:rPr>
      <w:u w:val="single"/>
    </w:rPr>
  </w:style>
  <w:style w:type="character" w:customStyle="1" w:styleId="BoldandItalics">
    <w:name w:val="Bold and Italics"/>
    <w:qFormat/>
    <w:rsid w:val="003C63B8"/>
    <w:rPr>
      <w:b/>
      <w:i/>
      <w:u w:val="none"/>
    </w:rPr>
  </w:style>
  <w:style w:type="paragraph" w:styleId="BalloonText">
    <w:name w:val="Balloon Text"/>
    <w:basedOn w:val="Normal"/>
    <w:link w:val="BalloonTextChar"/>
    <w:rsid w:val="003C6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3B8"/>
    <w:pPr>
      <w:spacing w:before="0" w:after="0"/>
    </w:pPr>
  </w:style>
  <w:style w:type="paragraph" w:customStyle="1" w:styleId="BodyTextBold">
    <w:name w:val="Body Text Bold"/>
    <w:basedOn w:val="BodyText"/>
    <w:qFormat/>
    <w:rsid w:val="003C63B8"/>
    <w:rPr>
      <w:b/>
    </w:rPr>
  </w:style>
  <w:style w:type="character" w:styleId="Hyperlink">
    <w:name w:val="Hyperlink"/>
    <w:basedOn w:val="DefaultParagraphFont"/>
    <w:uiPriority w:val="99"/>
    <w:unhideWhenUsed/>
    <w:rsid w:val="00A72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7053</Characters>
  <Application>Microsoft Office Word</Application>
  <DocSecurity>0</DocSecurity>
  <Lines>251</Lines>
  <Paragraphs>130</Paragraphs>
  <ScaleCrop>false</ScaleCrop>
  <Company>Author-it Software Corporation Ltd.</Company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CPPACC5017 Provide expert access advice on building renovations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