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120" w:rsidP="00492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CPPACC5010 Provide access advice on the design of the built environment</w:t>
      </w:r>
      <w:r>
        <w:fldChar w:fldCharType="end"/>
      </w:r>
    </w:p>
    <w:p w:rsidR="00492120" w:rsidP="00492120">
      <w:pPr>
        <w:pStyle w:val="Version"/>
        <w:sectPr w:rsidSect="00EF47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737" w:rsidP="00EF4737">
      <w:pPr>
        <w:pStyle w:val="SuperHeading"/>
      </w:pPr>
      <w:r w:rsidRPr="00EF4737">
        <w:t>CPPACC5010 Provide access advice on the design of the built environment</w:t>
      </w:r>
    </w:p>
    <w:p w:rsidR="00000000" w:rsidRPr="00EF4737" w:rsidP="00EF4737">
      <w:pPr>
        <w:pStyle w:val="Heading1"/>
      </w:pPr>
      <w:bookmarkStart w:id="1" w:name="O_1173282"/>
      <w:bookmarkEnd w:id="1"/>
      <w:r w:rsidRPr="00EF4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37" w:rsidP="00EF4737">
            <w:pPr>
              <w:pStyle w:val="BodyText"/>
            </w:pPr>
            <w:r w:rsidRPr="00EF4737">
              <w:t>This unit first released with CPP Property Services Training Package Release 14.0.</w:t>
            </w:r>
          </w:p>
          <w:p w:rsidR="00000000" w:rsidRPr="00EF4737" w:rsidP="00EF4737">
            <w:pPr>
              <w:pStyle w:val="BodyText"/>
            </w:pPr>
            <w:r w:rsidRPr="00EF4737">
              <w:t xml:space="preserve">Supersedes and is </w:t>
            </w:r>
            <w:r w:rsidRPr="00EF4737">
              <w:t>equivalent to CPPACC5010A Provide access advice on the design of the built environment.</w:t>
            </w:r>
          </w:p>
          <w:p w:rsidR="00000000" w:rsidRPr="00EF4737" w:rsidP="00EF4737">
            <w:pPr>
              <w:pStyle w:val="BodyText"/>
            </w:pPr>
            <w:r w:rsidRPr="00EF4737">
              <w:t xml:space="preserve">Unit updated to meet the Standards for Training Packages 2012. </w:t>
            </w:r>
          </w:p>
        </w:tc>
      </w:tr>
    </w:tbl>
    <w:p w:rsidR="00000000" w:rsidRPr="00EF4737" w:rsidP="00EF4737">
      <w:pPr>
        <w:pStyle w:val="BodyText"/>
      </w:pPr>
    </w:p>
    <w:p w:rsidR="00000000" w:rsidRPr="00EF4737" w:rsidP="00EF4737">
      <w:pPr>
        <w:pStyle w:val="AllowPageBreak"/>
      </w:pPr>
    </w:p>
    <w:p w:rsidR="00000000" w:rsidRPr="00EF4737" w:rsidP="00EF4737">
      <w:pPr>
        <w:pStyle w:val="Heading1"/>
      </w:pPr>
      <w:bookmarkStart w:id="2" w:name="O_1173288"/>
      <w:bookmarkEnd w:id="2"/>
      <w:r w:rsidRPr="00EF4737">
        <w:t>Application</w:t>
      </w:r>
    </w:p>
    <w:p w:rsidR="00000000" w:rsidRPr="00EF4737" w:rsidP="00492120">
      <w:pPr>
        <w:pStyle w:val="BodyText"/>
      </w:pPr>
      <w:r w:rsidRPr="00EF4737">
        <w:t xml:space="preserve">This unit of competency specifies the skills and knowledge required to </w:t>
      </w:r>
      <w:r w:rsidRPr="00EF4737">
        <w:t>provide advice on the design of the built environment to ensure adequate access for people with disability in compliance with relevant legislation, codes and standards.</w:t>
      </w:r>
    </w:p>
    <w:p w:rsidR="00000000" w:rsidRPr="00EF4737" w:rsidP="00492120">
      <w:pPr>
        <w:pStyle w:val="BodyText"/>
      </w:pPr>
      <w:r w:rsidRPr="00EF4737">
        <w:t>This unit is for individuals who are self-directed and have substantial depth of knowle</w:t>
      </w:r>
      <w:r w:rsidRPr="00EF4737">
        <w:t>dge and skills to make independent judgements in the provision of access consulting services.</w:t>
      </w:r>
    </w:p>
    <w:p w:rsidR="00000000" w:rsidRPr="00EF4737" w:rsidP="00492120">
      <w:pPr>
        <w:pStyle w:val="BodyText"/>
      </w:pPr>
      <w:r w:rsidRPr="00EF4737">
        <w:t>No licensing, legislative or certification requirements apply to this unit at the time of publication.</w:t>
      </w:r>
    </w:p>
    <w:p w:rsidR="00000000" w:rsidRPr="00EF4737" w:rsidP="00EF4737">
      <w:pPr>
        <w:pStyle w:val="Heading1"/>
      </w:pPr>
      <w:bookmarkStart w:id="3" w:name="O_1173287"/>
      <w:bookmarkEnd w:id="3"/>
      <w:r w:rsidRPr="00EF4737">
        <w:t>Pre-requisite Unit</w:t>
      </w:r>
    </w:p>
    <w:p w:rsidR="00000000" w:rsidRPr="00EF4737" w:rsidP="00492120">
      <w:pPr>
        <w:pStyle w:val="BodyText"/>
      </w:pPr>
      <w:r w:rsidRPr="00EF4737">
        <w:t>Nil.</w:t>
      </w:r>
    </w:p>
    <w:p w:rsidR="00000000" w:rsidRPr="00EF4737" w:rsidP="00EF4737">
      <w:pPr>
        <w:pStyle w:val="Heading1"/>
      </w:pPr>
      <w:bookmarkStart w:id="4" w:name="O_1173286"/>
      <w:bookmarkEnd w:id="4"/>
      <w:r w:rsidRPr="00EF4737">
        <w:t>Unit Sector</w:t>
      </w:r>
    </w:p>
    <w:p w:rsidR="00000000" w:rsidRPr="00EF4737" w:rsidP="00492120">
      <w:pPr>
        <w:pStyle w:val="BodyText"/>
      </w:pPr>
      <w:r w:rsidRPr="00EF4737">
        <w:t>Access Consulting.</w:t>
      </w:r>
    </w:p>
    <w:p w:rsidR="00000000" w:rsidRPr="00EF4737" w:rsidP="00EF4737">
      <w:pPr>
        <w:pStyle w:val="Heading1"/>
      </w:pPr>
      <w:bookmarkStart w:id="5" w:name="O_1173285"/>
      <w:bookmarkEnd w:id="5"/>
      <w:r w:rsidRPr="00EF47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Performance criteria describe what needs to be done to demonstrate achievement of the element.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Determine aspect of built environment requiring design advice for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Consult with relevant persons to clarify nature of client request for advice on aspect of the built environment requiring design advice for access.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 xml:space="preserve">Assess capability to provide proposed access design advice against own competence and organisational </w:t>
            </w:r>
            <w:r w:rsidRPr="00EF4737">
              <w:t>capability.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Obtain and document client authority to proceed with access design advice according to workplace requirements.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 xml:space="preserve">Establish client </w:t>
            </w:r>
            <w:r w:rsidRPr="00EF4737">
              <w:t>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Negotiate to confirm contractual arrangements with client, and document and store agreement according to regulatory and workplace requirements.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N</w:t>
            </w:r>
            <w:r w:rsidRPr="00EF4737">
              <w:t>egotiate and finalise written client brief, including detailed instructions for access design advice to be provided, according to workplace requirements.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Obtain copies of all relevant documentation pertinent to the project according to workplace req</w:t>
            </w:r>
            <w:r w:rsidRPr="00EF4737">
              <w:t>uirements.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Record all documentation received according to workplace requirements.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Source regulatory and reference documents relevant to proposed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 xml:space="preserve">Identify legislative </w:t>
            </w:r>
            <w:r w:rsidRPr="00EF4737">
              <w:t>framework governing the project and access relevant legislative references relevant to disability access.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Research re</w:t>
            </w:r>
            <w:r w:rsidRPr="00EF4737">
              <w:t>cognised publications to identify specific disability access guidance relevant to project, particularly for areas where regulatory guidance is absent.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Identify and document implications for the project of identified disability access regulations and</w:t>
            </w:r>
            <w:r w:rsidRPr="00EF4737">
              <w:t xml:space="preserve"> specific disability guidance ideas.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Provide design advice to client.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Prepare comprehensive report on design advice to meet access requirements of project and contractual and workplace requirements.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Highl</w:t>
            </w:r>
            <w:r w:rsidRPr="00EF4737">
              <w:t>ight within the report risks associated with specific disability guidance derived from recognised publications in the absence of regulatory guidance.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Present design advice report to client and explain design advice and risks in detail to ensure client understanding.</w:t>
            </w:r>
          </w:p>
        </w:tc>
      </w:tr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37" w:rsidP="00EF4737">
            <w:pPr>
              <w:pStyle w:val="BodyText"/>
            </w:pPr>
            <w:r w:rsidRPr="00EF4737">
              <w:t xml:space="preserve">Maintain copies of design advice report and associated </w:t>
            </w:r>
            <w:r w:rsidRPr="00EF4737">
              <w:t>documentation for future reference according to regulatory and workplace requ</w:t>
            </w:r>
            <w:r w:rsidRPr="00EF4737">
              <w:t>irements.</w:t>
            </w:r>
          </w:p>
        </w:tc>
      </w:tr>
    </w:tbl>
    <w:p w:rsidR="00000000" w:rsidRPr="00EF4737" w:rsidP="00EF4737">
      <w:pPr>
        <w:pStyle w:val="BodyText"/>
      </w:pPr>
    </w:p>
    <w:p w:rsidR="00000000" w:rsidRPr="00EF4737" w:rsidP="00EF4737">
      <w:pPr>
        <w:pStyle w:val="AllowPageBreak"/>
      </w:pPr>
    </w:p>
    <w:p w:rsidR="00000000" w:rsidRPr="00EF4737" w:rsidP="00EF4737">
      <w:pPr>
        <w:pStyle w:val="Heading1"/>
      </w:pPr>
      <w:bookmarkStart w:id="6" w:name="O_1173284"/>
      <w:bookmarkEnd w:id="6"/>
      <w:r w:rsidRPr="00EF4737">
        <w:t>Foundation Skills</w:t>
      </w:r>
    </w:p>
    <w:p w:rsidR="00000000" w:rsidRPr="00EF4737" w:rsidP="00492120">
      <w:pPr>
        <w:pStyle w:val="BodyText"/>
      </w:pPr>
      <w:r w:rsidRPr="00EF4737">
        <w:t>Foundation skills essential to performance are explicit in the performance criteria of this unit of competency.</w:t>
      </w:r>
    </w:p>
    <w:p w:rsidR="00000000" w:rsidRPr="00EF4737" w:rsidP="00EF4737">
      <w:pPr>
        <w:pStyle w:val="Heading1"/>
      </w:pPr>
      <w:bookmarkStart w:id="7" w:name="O_1173283"/>
      <w:bookmarkEnd w:id="7"/>
      <w:r w:rsidRPr="00EF4737">
        <w:t>Unit Mapping Information</w:t>
      </w:r>
    </w:p>
    <w:p w:rsidR="00000000" w:rsidRPr="00EF4737" w:rsidP="00492120">
      <w:pPr>
        <w:pStyle w:val="BodyText"/>
      </w:pPr>
      <w:r w:rsidRPr="00EF4737">
        <w:t>Supersedes and is equivalent to CPPACC5010A Provide</w:t>
      </w:r>
      <w:r w:rsidRPr="00EF4737">
        <w:t xml:space="preserve"> access advice on the design of the built environment.</w:t>
      </w:r>
    </w:p>
    <w:p w:rsidR="00000000" w:rsidRPr="00EF4737" w:rsidP="00EF4737">
      <w:pPr>
        <w:pStyle w:val="Heading1"/>
      </w:pPr>
      <w:bookmarkStart w:id="8" w:name="O_1173276"/>
      <w:bookmarkEnd w:id="8"/>
      <w:r w:rsidRPr="00EF4737">
        <w:t>Links</w:t>
      </w:r>
    </w:p>
    <w:p w:rsidR="00000000" w:rsidRPr="00EF4737" w:rsidP="00492120">
      <w:pPr>
        <w:pStyle w:val="BodyText"/>
      </w:pPr>
      <w:r w:rsidRPr="00EF47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3D9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F4737" w:rsidP="00492120">
      <w:pPr>
        <w:pStyle w:val="BodyText"/>
        <w:sectPr w:rsidSect="00EF47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4737" w:rsidP="00EF4737">
      <w:pPr>
        <w:pStyle w:val="SuperHeading"/>
      </w:pPr>
      <w:r w:rsidRPr="00EF4737">
        <w:t>Assessment Requirements for CPPACC5010 Provide access advice on the design of the built environment</w:t>
      </w:r>
    </w:p>
    <w:p w:rsidR="00000000" w:rsidRPr="00EF4737" w:rsidP="00EF4737">
      <w:pPr>
        <w:pStyle w:val="Heading1"/>
      </w:pPr>
      <w:bookmarkStart w:id="9" w:name="O_1173278"/>
      <w:bookmarkEnd w:id="9"/>
      <w:r w:rsidRPr="00EF47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F4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37">
            <w:pPr>
              <w:pStyle w:val="BodyText"/>
              <w:rPr>
                <w:lang w:val="en-NZ"/>
              </w:rPr>
            </w:pPr>
            <w:r w:rsidRPr="00EF473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37" w:rsidP="00EF4737">
            <w:pPr>
              <w:pStyle w:val="BodyText"/>
            </w:pPr>
            <w:r w:rsidRPr="00EF4737">
              <w:t xml:space="preserve">This unit first released with CPP Property Services Training </w:t>
            </w:r>
            <w:r w:rsidRPr="00EF4737">
              <w:t>Package Release 14.0.</w:t>
            </w:r>
          </w:p>
          <w:p w:rsidR="00000000" w:rsidRPr="00EF4737" w:rsidP="00EF4737">
            <w:pPr>
              <w:pStyle w:val="BodyText"/>
            </w:pPr>
            <w:r w:rsidRPr="00EF4737">
              <w:t>Supersedes and is equivalent to CPPACC5010A Provide access advice on the design of the built environment.</w:t>
            </w:r>
          </w:p>
          <w:p w:rsidR="00000000" w:rsidRPr="00EF4737" w:rsidP="00EF4737">
            <w:pPr>
              <w:pStyle w:val="BodyText"/>
            </w:pPr>
            <w:r w:rsidRPr="00EF4737">
              <w:t xml:space="preserve">Unit updated to meet the Standards for Training Packages 2012. </w:t>
            </w:r>
          </w:p>
        </w:tc>
      </w:tr>
    </w:tbl>
    <w:p w:rsidR="00000000" w:rsidRPr="00EF4737" w:rsidP="00EF4737">
      <w:pPr>
        <w:pStyle w:val="BodyText"/>
      </w:pPr>
    </w:p>
    <w:p w:rsidR="00000000" w:rsidRPr="00EF4737" w:rsidP="00EF4737">
      <w:pPr>
        <w:pStyle w:val="AllowPageBreak"/>
      </w:pPr>
    </w:p>
    <w:p w:rsidR="00000000" w:rsidRPr="00EF4737" w:rsidP="00EF4737">
      <w:pPr>
        <w:pStyle w:val="Heading1"/>
      </w:pPr>
      <w:bookmarkStart w:id="10" w:name="O_1173281"/>
      <w:bookmarkEnd w:id="10"/>
      <w:r w:rsidRPr="00EF4737">
        <w:t>Performance Evidence</w:t>
      </w:r>
    </w:p>
    <w:p w:rsidR="00000000" w:rsidRPr="00EF4737" w:rsidP="00492120">
      <w:pPr>
        <w:pStyle w:val="BodyText"/>
      </w:pPr>
      <w:r w:rsidRPr="00EF4737">
        <w:t>To demonstrate compete</w:t>
      </w:r>
      <w:r w:rsidRPr="00EF4737">
        <w:t>ncy, a candidate must meet the elements and performance criteria of this unit by providing access advice on the design of the built environment to meet the needs of two different clients.</w:t>
      </w:r>
    </w:p>
    <w:p w:rsidR="00000000" w:rsidRPr="00EF4737" w:rsidP="00EF4737">
      <w:pPr>
        <w:pStyle w:val="Heading1"/>
      </w:pPr>
      <w:bookmarkStart w:id="11" w:name="O_1173280"/>
      <w:bookmarkEnd w:id="11"/>
      <w:r w:rsidRPr="00EF4737">
        <w:t>Knowledge Evidence</w:t>
      </w:r>
    </w:p>
    <w:p w:rsidR="00000000" w:rsidRPr="00EF4737" w:rsidP="00492120">
      <w:pPr>
        <w:pStyle w:val="BodyText"/>
      </w:pPr>
      <w:r w:rsidRPr="00EF4737">
        <w:t xml:space="preserve">To be competent in this unit, </w:t>
      </w:r>
      <w:r w:rsidRPr="00EF4737">
        <w:t>a candidate must demonstrate knowledge of:</w:t>
      </w:r>
    </w:p>
    <w:p w:rsidR="00000000" w:rsidRPr="00EF4737" w:rsidP="00EF4737">
      <w:pPr>
        <w:pStyle w:val="ListBullet"/>
      </w:pPr>
      <w:r w:rsidRPr="00EF4737">
        <w:t>anthropometric and ergonomic principles of accessible building design and fitout</w:t>
      </w:r>
    </w:p>
    <w:p w:rsidR="00000000" w:rsidRPr="00EF4737" w:rsidP="00EF4737">
      <w:pPr>
        <w:pStyle w:val="ListBullet"/>
      </w:pPr>
      <w:r w:rsidRPr="00EF4737">
        <w:t>Commonwealth, state and territory legislation, regulations, codes and standards relevant to access consulting activities:</w:t>
      </w:r>
    </w:p>
    <w:p w:rsidR="00000000" w:rsidRPr="00EF4737" w:rsidP="00EF4737">
      <w:pPr>
        <w:pStyle w:val="ListBullet2"/>
      </w:pPr>
      <w:r w:rsidRPr="00EF4737">
        <w:t>anti-discrimination and disability discrimination</w:t>
      </w:r>
    </w:p>
    <w:p w:rsidR="00000000" w:rsidRPr="00EF4737" w:rsidP="00EF4737">
      <w:pPr>
        <w:pStyle w:val="ListBullet2"/>
      </w:pPr>
      <w:r w:rsidRPr="00EF4737">
        <w:t>building control including local government regulations and by-laws</w:t>
      </w:r>
    </w:p>
    <w:p w:rsidR="00000000" w:rsidRPr="00EF4737" w:rsidP="00EF4737">
      <w:pPr>
        <w:pStyle w:val="ListBullet2"/>
      </w:pPr>
      <w:r w:rsidRPr="00EF4737">
        <w:t>Disability (Access to Premises – Buildings) Standards 2010 under the Disability Discrimination Act 1992 (or their successors) – known as t</w:t>
      </w:r>
      <w:r w:rsidRPr="00EF4737">
        <w:t>he Access to Premises Standards</w:t>
      </w:r>
    </w:p>
    <w:p w:rsidR="00000000" w:rsidRPr="00EF4737" w:rsidP="00EF4737">
      <w:pPr>
        <w:pStyle w:val="ListBullet2"/>
      </w:pPr>
      <w:r w:rsidRPr="00EF4737">
        <w:t>National Construction Code (NCC) building classifications and access requirements</w:t>
      </w:r>
    </w:p>
    <w:p w:rsidR="00000000" w:rsidRPr="00EF4737" w:rsidP="00EF4737">
      <w:pPr>
        <w:pStyle w:val="ListBullet2"/>
      </w:pPr>
      <w:r w:rsidRPr="00EF4737">
        <w:t>National Disability Insurance Scheme (NDIS) Specialist Disability Accommodation Design Standard (or its successor)</w:t>
      </w:r>
    </w:p>
    <w:p w:rsidR="00000000" w:rsidRPr="00EF4737" w:rsidP="00EF4737">
      <w:pPr>
        <w:pStyle w:val="ListBullet2"/>
      </w:pPr>
      <w:r w:rsidRPr="00EF4737">
        <w:t>Livable Housing Australia L</w:t>
      </w:r>
      <w:r w:rsidRPr="00EF4737">
        <w:t>ivable Housing Design Guidelines (or its successor)</w:t>
      </w:r>
    </w:p>
    <w:p w:rsidR="00000000" w:rsidRPr="00EF4737" w:rsidP="00EF4737">
      <w:pPr>
        <w:pStyle w:val="ListBullet2"/>
      </w:pPr>
      <w:r w:rsidRPr="00EF4737">
        <w:t>principles of universal design</w:t>
      </w:r>
    </w:p>
    <w:p w:rsidR="00000000" w:rsidRPr="00EF4737" w:rsidP="00EF4737">
      <w:pPr>
        <w:pStyle w:val="ListBullet2"/>
      </w:pPr>
      <w:r w:rsidRPr="00EF4737">
        <w:t xml:space="preserve">privacy and confidentiality </w:t>
      </w:r>
    </w:p>
    <w:p w:rsidR="00000000" w:rsidRPr="00EF4737" w:rsidP="00EF4737">
      <w:pPr>
        <w:pStyle w:val="ListBullet"/>
      </w:pPr>
      <w:r w:rsidRPr="00EF4737">
        <w:t>functional systems of the human body</w:t>
      </w:r>
    </w:p>
    <w:p w:rsidR="00000000" w:rsidRPr="00EF4737" w:rsidP="00EF4737">
      <w:pPr>
        <w:pStyle w:val="ListBullet"/>
      </w:pPr>
      <w:r w:rsidRPr="00EF4737">
        <w:t>interpersonal communication strategies used to effectively relate to people from a range of social, cultur</w:t>
      </w:r>
      <w:r w:rsidRPr="00EF4737">
        <w:t>al and ethnic backgrounds and with a range of physical and cognitive abilities</w:t>
      </w:r>
    </w:p>
    <w:p w:rsidR="00000000" w:rsidRPr="00EF4737" w:rsidP="00EF4737">
      <w:pPr>
        <w:pStyle w:val="ListBullet"/>
      </w:pPr>
      <w:r w:rsidRPr="00EF4737">
        <w:t>measurements and calculations used to determine access provisions</w:t>
      </w:r>
    </w:p>
    <w:p w:rsidR="00000000" w:rsidRPr="00EF4737" w:rsidP="00EF4737">
      <w:pPr>
        <w:pStyle w:val="ListBullet"/>
      </w:pPr>
      <w:r w:rsidRPr="00EF4737">
        <w:t>possible solutions to situations where NCC deemed-to-satisfy (DTS) provisions do not provide appropriate access</w:t>
      </w:r>
    </w:p>
    <w:p w:rsidR="00000000" w:rsidRPr="00EF4737" w:rsidP="00EF4737">
      <w:pPr>
        <w:pStyle w:val="ListBullet"/>
      </w:pPr>
      <w:r w:rsidRPr="00EF4737">
        <w:t>principles of design relating to accessible buildings and fitouts</w:t>
      </w:r>
    </w:p>
    <w:p w:rsidR="00000000" w:rsidRPr="00EF4737" w:rsidP="00EF4737">
      <w:pPr>
        <w:pStyle w:val="ListBullet"/>
      </w:pPr>
      <w:r w:rsidRPr="00EF4737">
        <w:t>principles of risk management</w:t>
      </w:r>
    </w:p>
    <w:p w:rsidR="00000000" w:rsidRPr="00EF4737" w:rsidP="00EF4737">
      <w:pPr>
        <w:pStyle w:val="ListBullet"/>
      </w:pPr>
      <w:r w:rsidRPr="00EF4737">
        <w:t>sources of recognised publications to obtain disability access guidance</w:t>
      </w:r>
    </w:p>
    <w:p w:rsidR="00000000" w:rsidRPr="00EF4737" w:rsidP="00EF4737">
      <w:pPr>
        <w:pStyle w:val="ListBullet"/>
      </w:pPr>
      <w:r w:rsidRPr="00EF4737">
        <w:t>types of disability and limitations that each disability places on an individual’</w:t>
      </w:r>
      <w:r w:rsidRPr="00EF4737">
        <w:t>s ability to access the environment</w:t>
      </w:r>
    </w:p>
    <w:p w:rsidR="00000000" w:rsidRPr="00EF4737" w:rsidP="00EF4737">
      <w:pPr>
        <w:pStyle w:val="ListBullet"/>
      </w:pPr>
      <w:r w:rsidRPr="00EF4737">
        <w:t>workplace requirements for providing access advice on the design of the built environment:</w:t>
      </w:r>
    </w:p>
    <w:p w:rsidR="00000000" w:rsidRPr="00EF4737" w:rsidP="00EF4737">
      <w:pPr>
        <w:pStyle w:val="ListBullet2"/>
      </w:pPr>
      <w:r w:rsidRPr="00EF4737">
        <w:t>documentation and records administration</w:t>
      </w:r>
    </w:p>
    <w:p w:rsidR="00000000" w:rsidRPr="00EF4737" w:rsidP="00EF4737">
      <w:pPr>
        <w:pStyle w:val="ListBullet2"/>
      </w:pPr>
      <w:r w:rsidRPr="00EF4737">
        <w:t>format and content of:</w:t>
      </w:r>
    </w:p>
    <w:p w:rsidR="00000000" w:rsidRPr="00EF4737" w:rsidP="00EF4737">
      <w:pPr>
        <w:pStyle w:val="ListBullet3"/>
      </w:pPr>
      <w:r w:rsidRPr="00EF4737">
        <w:t>client contractual arrangements</w:t>
      </w:r>
    </w:p>
    <w:p w:rsidR="00000000" w:rsidRPr="00EF4737" w:rsidP="00EF4737">
      <w:pPr>
        <w:pStyle w:val="ListBullet3"/>
      </w:pPr>
      <w:r w:rsidRPr="00EF4737">
        <w:t>design advice reports</w:t>
      </w:r>
    </w:p>
    <w:p w:rsidR="00000000" w:rsidRPr="00EF4737" w:rsidP="00EF4737">
      <w:pPr>
        <w:pStyle w:val="ListBullet2"/>
      </w:pPr>
      <w:r w:rsidRPr="00EF4737">
        <w:t>quality</w:t>
      </w:r>
    </w:p>
    <w:p w:rsidR="00492120" w:rsidP="00EF4737">
      <w:pPr>
        <w:pStyle w:val="ListBullet2"/>
      </w:pPr>
      <w:r w:rsidRPr="00EF4737">
        <w:t>work role boundaries - responsibilities, limitations and professional abilities.</w:t>
      </w:r>
    </w:p>
    <w:p w:rsidR="00492120" w:rsidP="00EF4737">
      <w:pPr>
        <w:pStyle w:val="ListBullet2"/>
      </w:pPr>
    </w:p>
    <w:p w:rsidR="00000000" w:rsidRPr="00EF4737" w:rsidP="00EF4737">
      <w:pPr>
        <w:pStyle w:val="Heading1"/>
      </w:pPr>
      <w:bookmarkStart w:id="12" w:name="O_1173279"/>
      <w:bookmarkEnd w:id="12"/>
      <w:r w:rsidRPr="00EF4737">
        <w:t>Assessment Conditions</w:t>
      </w:r>
    </w:p>
    <w:p w:rsidR="00000000" w:rsidRPr="00EF4737" w:rsidP="00492120">
      <w:pPr>
        <w:pStyle w:val="BodyText"/>
      </w:pPr>
      <w:r w:rsidRPr="00EF4737">
        <w:t xml:space="preserve">Assessors must meet the requirements for assessors contained in the Standards for Registered Training Organisations. </w:t>
      </w:r>
    </w:p>
    <w:p w:rsidR="00000000" w:rsidRPr="00EF4737" w:rsidP="00492120">
      <w:pPr>
        <w:pStyle w:val="BodyText"/>
      </w:pPr>
      <w:r w:rsidRPr="00EF4737">
        <w:t>Assessment must</w:t>
      </w:r>
      <w:r w:rsidRPr="00EF4737">
        <w:t xml:space="preserve"> be conducted in the workplace or a simulated workplace using realistic conditions, materials, activities, responsibilities, procedures, safety requirements and environmental considerations.</w:t>
      </w:r>
    </w:p>
    <w:p w:rsidR="00000000" w:rsidRPr="00EF4737" w:rsidP="00492120">
      <w:pPr>
        <w:pStyle w:val="BodyText"/>
      </w:pPr>
      <w:r w:rsidRPr="00EF4737">
        <w:t>Candidates must have access to documentation, information and tec</w:t>
      </w:r>
      <w:r w:rsidRPr="00EF4737">
        <w:t>hnologies required to achieve the performance criteria and performance evidence.</w:t>
      </w:r>
    </w:p>
    <w:p w:rsidR="00000000" w:rsidRPr="00EF4737" w:rsidP="00EF4737">
      <w:pPr>
        <w:pStyle w:val="Heading1"/>
      </w:pPr>
      <w:bookmarkStart w:id="13" w:name="O_1173277"/>
      <w:bookmarkEnd w:id="13"/>
      <w:r w:rsidRPr="00EF4737">
        <w:t>Links</w:t>
      </w:r>
    </w:p>
    <w:p w:rsidR="00000000" w:rsidRPr="00EF4737" w:rsidP="00492120">
      <w:pPr>
        <w:pStyle w:val="BodyText"/>
      </w:pPr>
      <w:r w:rsidRPr="00EF47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3D9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F4737" w:rsidP="00EF4737"/>
    <w:sectPr w:rsidSect="00EF47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 w:rsidRPr="00492120" w:rsidP="00492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20" w:rsidP="00EF4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120" w:rsidP="00EF4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2120" w:rsidP="00EF47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 w:rsidP="00EF47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2120">
      <w:t>Approved</w:t>
    </w:r>
    <w:r w:rsidR="004921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21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2120">
      <w:rPr>
        <w:noProof/>
      </w:rPr>
      <w:t>4</w:t>
    </w:r>
    <w:r>
      <w:rPr>
        <w:noProof/>
      </w:rPr>
      <w:fldChar w:fldCharType="end"/>
    </w:r>
  </w:p>
  <w:p w:rsidR="00EF4737" w:rsidP="00EF47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21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2120">
      <w:t>BuildSkills Australia</w:t>
    </w:r>
    <w:r w:rsidR="00492120">
      <w:fldChar w:fldCharType="end"/>
    </w:r>
  </w:p>
  <w:p w:rsidR="00EF4737" w:rsidP="00EF47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737" w:rsidRPr="00492120" w:rsidP="00492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120" w:rsidRPr="002D2AF8" w:rsidP="00EF4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CPPACC5010 Provide access advice on the design of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2120" w:rsidP="00EF47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37" w:rsidRPr="002D2AF8" w:rsidP="00EF47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2120">
      <w:t>CPPACC5010 Provide access advice on the design of the built environment</w:t>
    </w:r>
    <w:r w:rsidR="004921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2120">
      <w:rPr>
        <w:noProof/>
      </w:rPr>
      <w:t>2 March 2025</w:t>
    </w:r>
    <w:r>
      <w:fldChar w:fldCharType="end"/>
    </w:r>
  </w:p>
  <w:p w:rsidR="00EF4737" w:rsidP="00EF47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C0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F21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AE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7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7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7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7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7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7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7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7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7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7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737"/>
  </w:style>
  <w:style w:type="character" w:customStyle="1" w:styleId="Heading1Char">
    <w:name w:val="Heading 1 Char"/>
    <w:basedOn w:val="DefaultParagraphFont"/>
    <w:link w:val="Heading1"/>
    <w:rsid w:val="00EF47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7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7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7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7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7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7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F47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F47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7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7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7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7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7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7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7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7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7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7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7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7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7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7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7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7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7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737"/>
    <w:rPr>
      <w:b/>
      <w:spacing w:val="0"/>
    </w:rPr>
  </w:style>
  <w:style w:type="paragraph" w:customStyle="1" w:styleId="SuperTitle">
    <w:name w:val="SuperTitle"/>
    <w:basedOn w:val="Title"/>
    <w:rsid w:val="00EF47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7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7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7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7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7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7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7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7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7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7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7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737"/>
    <w:rPr>
      <w:i/>
    </w:rPr>
  </w:style>
  <w:style w:type="paragraph" w:styleId="Caption">
    <w:name w:val="caption"/>
    <w:basedOn w:val="BodyText"/>
    <w:next w:val="Normal"/>
    <w:qFormat/>
    <w:rsid w:val="00EF47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7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7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737"/>
  </w:style>
  <w:style w:type="paragraph" w:styleId="TableofFigures">
    <w:name w:val="table of figures"/>
    <w:basedOn w:val="Normal"/>
    <w:next w:val="Normal"/>
    <w:semiHidden/>
    <w:rsid w:val="00EF47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7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F4737"/>
    <w:rPr>
      <w:rFonts w:ascii="Wingdings" w:hAnsi="Wingdings"/>
    </w:rPr>
  </w:style>
  <w:style w:type="paragraph" w:customStyle="1" w:styleId="TableHeading">
    <w:name w:val="Table Heading"/>
    <w:basedOn w:val="HeadingBase"/>
    <w:rsid w:val="00EF47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737"/>
    <w:rPr>
      <w:color w:val="0033CC"/>
      <w:u w:val="none"/>
    </w:rPr>
  </w:style>
  <w:style w:type="paragraph" w:customStyle="1" w:styleId="BodyTextRight">
    <w:name w:val="Body Text Right"/>
    <w:basedOn w:val="BodyText"/>
    <w:rsid w:val="00EF47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7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7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7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7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7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737"/>
    <w:rPr>
      <w:sz w:val="32"/>
    </w:rPr>
  </w:style>
  <w:style w:type="paragraph" w:customStyle="1" w:styleId="HeadingProcedure">
    <w:name w:val="Heading Procedure"/>
    <w:basedOn w:val="HeadingBase"/>
    <w:next w:val="Normal"/>
    <w:rsid w:val="00EF47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737"/>
    <w:pPr>
      <w:spacing w:before="60" w:after="60"/>
    </w:pPr>
  </w:style>
  <w:style w:type="paragraph" w:styleId="ListContinue">
    <w:name w:val="List Continue"/>
    <w:basedOn w:val="List"/>
    <w:rsid w:val="00EF4737"/>
    <w:pPr>
      <w:ind w:firstLine="0"/>
    </w:pPr>
  </w:style>
  <w:style w:type="paragraph" w:customStyle="1" w:styleId="ListNote">
    <w:name w:val="List Note"/>
    <w:basedOn w:val="List"/>
    <w:rsid w:val="00EF47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7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7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737"/>
    <w:rPr>
      <w:rFonts w:ascii="Courier New" w:hAnsi="Courier New"/>
    </w:rPr>
  </w:style>
  <w:style w:type="paragraph" w:customStyle="1" w:styleId="NoteBullet">
    <w:name w:val="Note Bullet"/>
    <w:basedOn w:val="Note"/>
    <w:rsid w:val="00EF47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7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7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7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7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47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7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737"/>
    <w:rPr>
      <w:b/>
      <w:smallCaps/>
    </w:rPr>
  </w:style>
  <w:style w:type="paragraph" w:customStyle="1" w:styleId="TableListNumber">
    <w:name w:val="Table List Number"/>
    <w:basedOn w:val="ListNumber"/>
    <w:rsid w:val="00EF47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7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737"/>
    <w:pPr>
      <w:numPr>
        <w:numId w:val="10"/>
      </w:numPr>
    </w:pPr>
  </w:style>
  <w:style w:type="paragraph" w:customStyle="1" w:styleId="ListAlpha2">
    <w:name w:val="List Alpha 2"/>
    <w:basedOn w:val="List2"/>
    <w:rsid w:val="00EF4737"/>
    <w:pPr>
      <w:numPr>
        <w:numId w:val="9"/>
      </w:numPr>
    </w:pPr>
  </w:style>
  <w:style w:type="paragraph" w:styleId="List2">
    <w:name w:val="List 2"/>
    <w:basedOn w:val="BodyText"/>
    <w:rsid w:val="00EF47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7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7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7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F47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F4737"/>
    <w:pPr>
      <w:numPr>
        <w:numId w:val="5"/>
      </w:numPr>
    </w:pPr>
  </w:style>
  <w:style w:type="paragraph" w:styleId="ListContinue2">
    <w:name w:val="List Continue 2"/>
    <w:basedOn w:val="List2"/>
    <w:rsid w:val="00EF4737"/>
    <w:pPr>
      <w:ind w:firstLine="0"/>
    </w:pPr>
  </w:style>
  <w:style w:type="paragraph" w:styleId="ListContinue3">
    <w:name w:val="List Continue 3"/>
    <w:basedOn w:val="List3"/>
    <w:rsid w:val="00EF4737"/>
    <w:pPr>
      <w:ind w:left="1021" w:firstLine="0"/>
    </w:pPr>
  </w:style>
  <w:style w:type="paragraph" w:styleId="ListContinue4">
    <w:name w:val="List Continue 4"/>
    <w:basedOn w:val="List4"/>
    <w:rsid w:val="00EF4737"/>
    <w:pPr>
      <w:ind w:firstLine="0"/>
    </w:pPr>
  </w:style>
  <w:style w:type="paragraph" w:styleId="ListContinue5">
    <w:name w:val="List Continue 5"/>
    <w:basedOn w:val="List5"/>
    <w:rsid w:val="00EF4737"/>
    <w:pPr>
      <w:ind w:firstLine="0"/>
    </w:pPr>
  </w:style>
  <w:style w:type="paragraph" w:styleId="ListNumber3">
    <w:name w:val="List Number 3"/>
    <w:basedOn w:val="List3"/>
    <w:rsid w:val="00EF4737"/>
    <w:pPr>
      <w:numPr>
        <w:numId w:val="6"/>
      </w:numPr>
    </w:pPr>
  </w:style>
  <w:style w:type="paragraph" w:styleId="ListNumber4">
    <w:name w:val="List Number 4"/>
    <w:basedOn w:val="List4"/>
    <w:rsid w:val="00EF4737"/>
    <w:pPr>
      <w:numPr>
        <w:numId w:val="7"/>
      </w:numPr>
    </w:pPr>
  </w:style>
  <w:style w:type="paragraph" w:styleId="ListNumber5">
    <w:name w:val="List Number 5"/>
    <w:basedOn w:val="List5"/>
    <w:rsid w:val="00EF4737"/>
    <w:pPr>
      <w:numPr>
        <w:numId w:val="8"/>
      </w:numPr>
    </w:pPr>
  </w:style>
  <w:style w:type="paragraph" w:styleId="BlockText">
    <w:name w:val="Block Text"/>
    <w:basedOn w:val="Normal"/>
    <w:rsid w:val="00EF47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7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737"/>
    <w:rPr>
      <w:sz w:val="16"/>
      <w:vertAlign w:val="superscript"/>
    </w:rPr>
  </w:style>
  <w:style w:type="character" w:customStyle="1" w:styleId="Symbols">
    <w:name w:val="Symbols"/>
    <w:basedOn w:val="DefaultParagraphFont"/>
    <w:rsid w:val="00EF4737"/>
    <w:rPr>
      <w:rFonts w:ascii="Symbol" w:hAnsi="Symbol"/>
    </w:rPr>
  </w:style>
  <w:style w:type="character" w:customStyle="1" w:styleId="MenuOptions">
    <w:name w:val="Menu Options"/>
    <w:basedOn w:val="DefaultParagraphFont"/>
    <w:rsid w:val="00EF47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737"/>
    <w:rPr>
      <w:b/>
    </w:rPr>
  </w:style>
  <w:style w:type="character" w:customStyle="1" w:styleId="Underlined">
    <w:name w:val="Underlined"/>
    <w:basedOn w:val="DefaultParagraphFont"/>
    <w:rsid w:val="00EF4737"/>
    <w:rPr>
      <w:u w:val="single"/>
    </w:rPr>
  </w:style>
  <w:style w:type="paragraph" w:customStyle="1" w:styleId="TableBodyTextRight">
    <w:name w:val="Table Body Text Right"/>
    <w:basedOn w:val="TableBodyText"/>
    <w:rsid w:val="00EF47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737"/>
    <w:rPr>
      <w:sz w:val="18"/>
    </w:rPr>
  </w:style>
  <w:style w:type="paragraph" w:customStyle="1" w:styleId="BodySmallRight">
    <w:name w:val="Body Small Right"/>
    <w:basedOn w:val="BodyTextRight"/>
    <w:rsid w:val="00EF4737"/>
    <w:rPr>
      <w:sz w:val="18"/>
      <w:szCs w:val="18"/>
    </w:rPr>
  </w:style>
  <w:style w:type="paragraph" w:customStyle="1" w:styleId="MarginEdition">
    <w:name w:val="Margin Edition"/>
    <w:basedOn w:val="MarginNote"/>
    <w:rsid w:val="00EF47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737"/>
    <w:rPr>
      <w:sz w:val="2"/>
      <w:szCs w:val="2"/>
    </w:rPr>
  </w:style>
  <w:style w:type="character" w:customStyle="1" w:styleId="Small">
    <w:name w:val="Small"/>
    <w:basedOn w:val="DefaultParagraphFont"/>
    <w:rsid w:val="00EF4737"/>
    <w:rPr>
      <w:sz w:val="16"/>
    </w:rPr>
  </w:style>
  <w:style w:type="paragraph" w:customStyle="1" w:styleId="WideTable">
    <w:name w:val="Wide Table"/>
    <w:basedOn w:val="Normal"/>
    <w:rsid w:val="00EF47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737"/>
  </w:style>
  <w:style w:type="paragraph" w:styleId="Quote">
    <w:name w:val="Quote"/>
    <w:basedOn w:val="Heading1"/>
    <w:link w:val="QuoteChar"/>
    <w:qFormat/>
    <w:rsid w:val="00EF47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7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737"/>
    <w:pPr>
      <w:pageBreakBefore/>
    </w:pPr>
  </w:style>
  <w:style w:type="paragraph" w:customStyle="1" w:styleId="Border">
    <w:name w:val="Border"/>
    <w:basedOn w:val="Normal"/>
    <w:qFormat/>
    <w:rsid w:val="00EF47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7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7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7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7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7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7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7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737"/>
    <w:rPr>
      <w:u w:val="single"/>
    </w:rPr>
  </w:style>
  <w:style w:type="character" w:customStyle="1" w:styleId="BoldandItalics">
    <w:name w:val="Bold and Italics"/>
    <w:qFormat/>
    <w:rsid w:val="00EF4737"/>
    <w:rPr>
      <w:b/>
      <w:i/>
      <w:u w:val="none"/>
    </w:rPr>
  </w:style>
  <w:style w:type="paragraph" w:styleId="BalloonText">
    <w:name w:val="Balloon Text"/>
    <w:basedOn w:val="Normal"/>
    <w:link w:val="BalloonTextChar"/>
    <w:rsid w:val="00EF47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7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7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7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7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7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737"/>
    <w:pPr>
      <w:spacing w:before="0" w:after="0"/>
    </w:pPr>
  </w:style>
  <w:style w:type="paragraph" w:customStyle="1" w:styleId="BodyTextBold">
    <w:name w:val="Body Text Bold"/>
    <w:basedOn w:val="BodyText"/>
    <w:qFormat/>
    <w:rsid w:val="00EF4737"/>
    <w:rPr>
      <w:b/>
    </w:rPr>
  </w:style>
  <w:style w:type="character" w:styleId="Hyperlink">
    <w:name w:val="Hyperlink"/>
    <w:basedOn w:val="DefaultParagraphFont"/>
    <w:uiPriority w:val="99"/>
    <w:unhideWhenUsed/>
    <w:rsid w:val="00492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6270</Characters>
  <Application>Microsoft Office Word</Application>
  <DocSecurity>0</DocSecurity>
  <Lines>216</Lines>
  <Paragraphs>122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CPPACC5010 Provide access advice on the design of the built environment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