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BA4" w:rsidP="00E96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CPPACC5009 Evaluate and select construction materials for accessible buildings</w:t>
      </w:r>
      <w:r>
        <w:fldChar w:fldCharType="end"/>
      </w:r>
    </w:p>
    <w:p w:rsidR="00E96BA4" w:rsidP="00E96BA4">
      <w:pPr>
        <w:pStyle w:val="Version"/>
        <w:sectPr w:rsidSect="00F76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040" w:rsidP="00F76040">
      <w:pPr>
        <w:pStyle w:val="SuperHeading"/>
      </w:pPr>
      <w:r w:rsidRPr="00F76040">
        <w:t>Assessment Requirements for CPPACC5009 Evaluate and select construction materials for accessible buildings</w:t>
      </w:r>
    </w:p>
    <w:p w:rsidR="00000000" w:rsidRPr="00F76040" w:rsidP="00F76040">
      <w:pPr>
        <w:pStyle w:val="Heading1"/>
      </w:pPr>
      <w:bookmarkStart w:id="1" w:name="O_1173261"/>
      <w:bookmarkEnd w:id="1"/>
      <w:r w:rsidRPr="00F760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040">
            <w:pPr>
              <w:pStyle w:val="BodyText"/>
              <w:rPr>
                <w:lang w:val="en-NZ"/>
              </w:rPr>
            </w:pPr>
            <w:r w:rsidRPr="00F760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040" w:rsidP="00F76040">
            <w:pPr>
              <w:pStyle w:val="BodyText"/>
            </w:pPr>
            <w:r w:rsidRPr="00F76040">
              <w:t>This unit first released with CPP Property Services Training Package Release 14.0.</w:t>
            </w:r>
          </w:p>
          <w:p w:rsidR="00000000" w:rsidRPr="00F76040" w:rsidP="00F76040">
            <w:pPr>
              <w:pStyle w:val="BodyText"/>
            </w:pPr>
            <w:r w:rsidRPr="00F76040">
              <w:t>Supersedes and is equivalent to CPPACC5009A Evaluate materials for the construction of buildings for access. Minor change to unit title to clarify outcome.</w:t>
            </w:r>
          </w:p>
          <w:p w:rsidR="00000000" w:rsidRPr="00F76040" w:rsidP="00F76040">
            <w:pPr>
              <w:pStyle w:val="BodyText"/>
            </w:pPr>
            <w:r w:rsidRPr="00F76040">
              <w:t xml:space="preserve">Unit updated to meet the Standards for Training Packages 2012. </w:t>
            </w:r>
          </w:p>
        </w:tc>
      </w:tr>
    </w:tbl>
    <w:p w:rsidR="00000000" w:rsidRPr="00F76040" w:rsidP="00F76040">
      <w:pPr>
        <w:pStyle w:val="BodyText"/>
      </w:pPr>
    </w:p>
    <w:p w:rsidR="00000000" w:rsidRPr="00F76040" w:rsidP="00F76040">
      <w:pPr>
        <w:pStyle w:val="AllowPageBreak"/>
      </w:pPr>
    </w:p>
    <w:p w:rsidR="00000000" w:rsidRPr="00F76040" w:rsidP="00F76040">
      <w:pPr>
        <w:pStyle w:val="Heading1"/>
      </w:pPr>
      <w:bookmarkStart w:id="2" w:name="O_1173264"/>
      <w:bookmarkEnd w:id="2"/>
      <w:r w:rsidRPr="00F76040">
        <w:t>Performance Evi</w:t>
      </w:r>
      <w:r w:rsidRPr="00F76040">
        <w:t>dence</w:t>
      </w:r>
    </w:p>
    <w:p w:rsidR="00000000" w:rsidRPr="00F76040" w:rsidP="00E96BA4">
      <w:pPr>
        <w:pStyle w:val="BodyText"/>
      </w:pPr>
      <w:r w:rsidRPr="00F76040">
        <w:t>To demonstrate competency, a candidate must meet the elements and performance criteria of this unit by evaluating and selecting construction materials for two different accessible building projects.</w:t>
      </w:r>
    </w:p>
    <w:p w:rsidR="00000000" w:rsidRPr="00F76040" w:rsidP="00F76040">
      <w:pPr>
        <w:pStyle w:val="Heading1"/>
      </w:pPr>
      <w:bookmarkStart w:id="3" w:name="O_1173263"/>
      <w:bookmarkEnd w:id="3"/>
      <w:r w:rsidRPr="00F76040">
        <w:t>Knowledge Evidence</w:t>
      </w:r>
    </w:p>
    <w:p w:rsidR="00000000" w:rsidRPr="00F76040" w:rsidP="00E96BA4">
      <w:pPr>
        <w:pStyle w:val="BodyText"/>
      </w:pPr>
      <w:r w:rsidRPr="00F76040">
        <w:t>To be compete</w:t>
      </w:r>
      <w:r w:rsidRPr="00F76040">
        <w:t>nt in this unit, a candidate must demonstrate knowledge of:</w:t>
      </w:r>
    </w:p>
    <w:p w:rsidR="00000000" w:rsidRPr="00F76040" w:rsidP="00F76040">
      <w:pPr>
        <w:pStyle w:val="ListBullet"/>
      </w:pPr>
      <w:r w:rsidRPr="00F76040">
        <w:t>Commonwealth, state and territory legislation, regulations, codes and standards relevant to access consulting activities:</w:t>
      </w:r>
    </w:p>
    <w:p w:rsidR="00000000" w:rsidRPr="00F76040" w:rsidP="00F76040">
      <w:pPr>
        <w:pStyle w:val="ListBullet2"/>
      </w:pPr>
      <w:r w:rsidRPr="00F76040">
        <w:t>anti-discrimination and disability discrimination</w:t>
      </w:r>
    </w:p>
    <w:p w:rsidR="00000000" w:rsidRPr="00F76040" w:rsidP="00F76040">
      <w:pPr>
        <w:pStyle w:val="ListBullet2"/>
      </w:pPr>
      <w:r w:rsidRPr="00F76040">
        <w:t>building control including local government regulations and by-laws</w:t>
      </w:r>
    </w:p>
    <w:p w:rsidR="00000000" w:rsidRPr="00F76040" w:rsidP="00F76040">
      <w:pPr>
        <w:pStyle w:val="ListBullet2"/>
      </w:pPr>
      <w:r w:rsidRPr="00F76040">
        <w:t>Disability (Access to Premises – Buildings) Standards 2010 under the Disability Discrimination Act 1992 (or their successors) – known as the Access to Premises Standards</w:t>
      </w:r>
    </w:p>
    <w:p w:rsidR="00000000" w:rsidRPr="00F76040" w:rsidP="00F76040">
      <w:pPr>
        <w:pStyle w:val="ListBullet2"/>
      </w:pPr>
      <w:r w:rsidRPr="00F76040">
        <w:t>National Construct</w:t>
      </w:r>
      <w:r w:rsidRPr="00F76040">
        <w:t>ion Code (NCC) building classifications and access requirements</w:t>
      </w:r>
    </w:p>
    <w:p w:rsidR="00000000" w:rsidRPr="00F76040" w:rsidP="00F76040">
      <w:pPr>
        <w:pStyle w:val="ListBullet2"/>
      </w:pPr>
      <w:r w:rsidRPr="00F76040">
        <w:t>National Disability Insurance Scheme (NDIS) Specialist Disability Accommodation Design Standard (or its successor)</w:t>
      </w:r>
    </w:p>
    <w:p w:rsidR="00000000" w:rsidRPr="00F76040" w:rsidP="00F76040">
      <w:pPr>
        <w:pStyle w:val="ListBullet2"/>
      </w:pPr>
      <w:r w:rsidRPr="00F76040">
        <w:t>Livable Housing Australia Livable Housing Design Guidelines (or its successor</w:t>
      </w:r>
      <w:r w:rsidRPr="00F76040">
        <w:t>)</w:t>
      </w:r>
    </w:p>
    <w:p w:rsidR="00000000" w:rsidRPr="00F76040" w:rsidP="00F76040">
      <w:pPr>
        <w:pStyle w:val="ListBullet2"/>
      </w:pPr>
      <w:r w:rsidRPr="00F76040">
        <w:t>principles of universal design</w:t>
      </w:r>
    </w:p>
    <w:p w:rsidR="00000000" w:rsidRPr="00F76040" w:rsidP="00F76040">
      <w:pPr>
        <w:pStyle w:val="ListBullet2"/>
      </w:pPr>
      <w:r w:rsidRPr="00F76040">
        <w:t xml:space="preserve">privacy and confidentiality </w:t>
      </w:r>
    </w:p>
    <w:p w:rsidR="00000000" w:rsidRPr="00F76040" w:rsidP="00F76040">
      <w:pPr>
        <w:pStyle w:val="ListBullet"/>
      </w:pPr>
      <w:r w:rsidRPr="00F76040">
        <w:t>grading processes and grade markings used to categorise timber and timber products</w:t>
      </w:r>
    </w:p>
    <w:p w:rsidR="00000000" w:rsidRPr="00F76040" w:rsidP="00F76040">
      <w:pPr>
        <w:pStyle w:val="ListBullet"/>
      </w:pPr>
      <w:r w:rsidRPr="00F76040">
        <w:t>interpersonal communication strategies used to effectively relate to people from a range of social, cultural a</w:t>
      </w:r>
      <w:r w:rsidRPr="00F76040">
        <w:t>nd ethnic backgrounds and with a range of physical and cognitive abilities</w:t>
      </w:r>
    </w:p>
    <w:p w:rsidR="00000000" w:rsidRPr="00F76040" w:rsidP="00F76040">
      <w:pPr>
        <w:pStyle w:val="ListBullet"/>
      </w:pPr>
      <w:r w:rsidRPr="00F76040">
        <w:t>nature of building materials, performance requirements relevant to accessible buildings, and methods for their evaluation based on:</w:t>
      </w:r>
    </w:p>
    <w:p w:rsidR="00000000" w:rsidRPr="00F76040" w:rsidP="00F76040">
      <w:pPr>
        <w:pStyle w:val="ListBullet2"/>
      </w:pPr>
      <w:r w:rsidRPr="00F76040">
        <w:t>performance</w:t>
      </w:r>
    </w:p>
    <w:p w:rsidR="00000000" w:rsidRPr="00F76040" w:rsidP="00F76040">
      <w:pPr>
        <w:pStyle w:val="ListBullet2"/>
      </w:pPr>
      <w:r w:rsidRPr="00F76040">
        <w:t>visual characteristics</w:t>
      </w:r>
    </w:p>
    <w:p w:rsidR="00000000" w:rsidRPr="00F76040" w:rsidP="00F76040">
      <w:pPr>
        <w:pStyle w:val="ListBullet2"/>
      </w:pPr>
      <w:r w:rsidRPr="00F76040">
        <w:t>structural ad</w:t>
      </w:r>
      <w:r w:rsidRPr="00F76040">
        <w:t>equacy</w:t>
      </w:r>
    </w:p>
    <w:p w:rsidR="00000000" w:rsidRPr="00F76040" w:rsidP="00F76040">
      <w:pPr>
        <w:pStyle w:val="ListBullet2"/>
      </w:pPr>
      <w:r w:rsidRPr="00F76040">
        <w:t>fire resistance</w:t>
      </w:r>
    </w:p>
    <w:p w:rsidR="00000000" w:rsidRPr="00F76040" w:rsidP="00F76040">
      <w:pPr>
        <w:pStyle w:val="ListBullet2"/>
      </w:pPr>
      <w:r w:rsidRPr="00F76040">
        <w:t xml:space="preserve">cost effectiveness </w:t>
      </w:r>
    </w:p>
    <w:p w:rsidR="00000000" w:rsidRPr="00F76040" w:rsidP="00F76040">
      <w:pPr>
        <w:pStyle w:val="ListBullet"/>
      </w:pPr>
      <w:r w:rsidRPr="00F76040">
        <w:t>processes for interpreting construction plans, drawings and specifications when evaluating and selecting construction materials for accessible buildings</w:t>
      </w:r>
    </w:p>
    <w:p w:rsidR="00000000" w:rsidRPr="00F76040" w:rsidP="00F76040">
      <w:pPr>
        <w:pStyle w:val="ListBullet"/>
      </w:pPr>
      <w:r w:rsidRPr="00F76040">
        <w:t>types of disability and limitations that each disability places on an individual’s ability to access the environment</w:t>
      </w:r>
    </w:p>
    <w:p w:rsidR="00000000" w:rsidRPr="00F76040" w:rsidP="00F76040">
      <w:pPr>
        <w:pStyle w:val="ListBullet"/>
      </w:pPr>
      <w:r w:rsidRPr="00F76040">
        <w:t>workplace requirements for evaluating and selecting construction materials for accessible buildings:</w:t>
      </w:r>
    </w:p>
    <w:p w:rsidR="00000000" w:rsidRPr="00F76040" w:rsidP="00F76040">
      <w:pPr>
        <w:pStyle w:val="ListBullet2"/>
      </w:pPr>
      <w:r w:rsidRPr="00F76040">
        <w:t>client service</w:t>
      </w:r>
    </w:p>
    <w:p w:rsidR="00000000" w:rsidRPr="00F76040" w:rsidP="00F76040">
      <w:pPr>
        <w:pStyle w:val="ListBullet2"/>
      </w:pPr>
      <w:r w:rsidRPr="00F76040">
        <w:t>documentation and reco</w:t>
      </w:r>
      <w:r w:rsidRPr="00F76040">
        <w:t>rds administration</w:t>
      </w:r>
    </w:p>
    <w:p w:rsidR="00000000" w:rsidRPr="00F76040" w:rsidP="00F76040">
      <w:pPr>
        <w:pStyle w:val="ListBullet2"/>
      </w:pPr>
      <w:r w:rsidRPr="00F76040">
        <w:t>quality</w:t>
      </w:r>
    </w:p>
    <w:p w:rsidR="00000000" w:rsidRPr="00F76040" w:rsidP="00F76040">
      <w:pPr>
        <w:pStyle w:val="ListBullet2"/>
      </w:pPr>
      <w:r w:rsidRPr="00F76040">
        <w:t>work role boundaries - responsibilities, limitations and professional abilities.</w:t>
      </w:r>
    </w:p>
    <w:p w:rsidR="00000000" w:rsidRPr="00F76040" w:rsidP="00F76040">
      <w:pPr>
        <w:pStyle w:val="AllowPageBreak"/>
      </w:pPr>
    </w:p>
    <w:p w:rsidR="00000000" w:rsidRPr="00F76040" w:rsidP="00F76040">
      <w:pPr>
        <w:pStyle w:val="Heading1"/>
      </w:pPr>
      <w:bookmarkStart w:id="4" w:name="O_1173262"/>
      <w:bookmarkEnd w:id="4"/>
      <w:r w:rsidRPr="00F76040">
        <w:t>Assessment Conditions</w:t>
      </w:r>
    </w:p>
    <w:p w:rsidR="00000000" w:rsidRPr="00F76040" w:rsidP="00E96BA4">
      <w:pPr>
        <w:pStyle w:val="BodyText"/>
      </w:pPr>
      <w:r w:rsidRPr="00F76040">
        <w:t>Assessors must meet the requirements for assessors contained in the Standards for Registered Training Organ</w:t>
      </w:r>
      <w:r w:rsidRPr="00F76040">
        <w:t xml:space="preserve">isations. </w:t>
      </w:r>
    </w:p>
    <w:p w:rsidR="00000000" w:rsidRPr="00F76040" w:rsidP="00E96BA4">
      <w:pPr>
        <w:pStyle w:val="BodyText"/>
      </w:pPr>
      <w:r w:rsidRPr="00F7604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F76040" w:rsidP="00E96BA4">
      <w:pPr>
        <w:pStyle w:val="BodyText"/>
      </w:pPr>
      <w:r w:rsidRPr="00F76040">
        <w:t>Candidates must have access to document</w:t>
      </w:r>
      <w:r w:rsidRPr="00F76040">
        <w:t>ation, technologies, building materials and associated information required to achieve the performance criteria and performance evidence.</w:t>
      </w:r>
    </w:p>
    <w:p w:rsidR="00000000" w:rsidRPr="00F76040" w:rsidP="00F76040">
      <w:pPr>
        <w:pStyle w:val="Heading1"/>
      </w:pPr>
      <w:bookmarkStart w:id="5" w:name="O_1173260"/>
      <w:bookmarkEnd w:id="5"/>
      <w:r w:rsidRPr="00F76040">
        <w:t>Links</w:t>
      </w:r>
    </w:p>
    <w:p w:rsidR="00000000" w:rsidRPr="00F76040" w:rsidP="00E96BA4">
      <w:pPr>
        <w:pStyle w:val="BodyText"/>
      </w:pPr>
      <w:r w:rsidRPr="00F760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0B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6040" w:rsidP="00F76040"/>
    <w:sectPr w:rsidSect="00F76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40" w:rsidRPr="00E96BA4" w:rsidP="00E96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A4" w:rsidP="00F76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BA4" w:rsidP="00F76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96BA4" w:rsidP="00F76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040" w:rsidRPr="00E96BA4" w:rsidP="00E96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A4" w:rsidRPr="002D2AF8" w:rsidP="00F76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CPPACC5009 Evaluate and select construction materials for accessible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96BA4" w:rsidP="00F76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CE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63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20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040"/>
  </w:style>
  <w:style w:type="character" w:customStyle="1" w:styleId="Heading1Char">
    <w:name w:val="Heading 1 Char"/>
    <w:basedOn w:val="DefaultParagraphFont"/>
    <w:link w:val="Heading1"/>
    <w:rsid w:val="00F76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0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60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6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6040"/>
    <w:rPr>
      <w:b/>
      <w:spacing w:val="0"/>
    </w:rPr>
  </w:style>
  <w:style w:type="paragraph" w:customStyle="1" w:styleId="SuperTitle">
    <w:name w:val="SuperTitle"/>
    <w:basedOn w:val="Title"/>
    <w:rsid w:val="00F76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040"/>
    <w:rPr>
      <w:i/>
    </w:rPr>
  </w:style>
  <w:style w:type="paragraph" w:styleId="Caption">
    <w:name w:val="caption"/>
    <w:basedOn w:val="BodyText"/>
    <w:next w:val="Normal"/>
    <w:qFormat/>
    <w:rsid w:val="00F76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040"/>
  </w:style>
  <w:style w:type="paragraph" w:styleId="TableofFigures">
    <w:name w:val="table of figures"/>
    <w:basedOn w:val="Normal"/>
    <w:next w:val="Normal"/>
    <w:semiHidden/>
    <w:rsid w:val="00F76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0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6040"/>
    <w:rPr>
      <w:rFonts w:ascii="Wingdings" w:hAnsi="Wingdings"/>
    </w:rPr>
  </w:style>
  <w:style w:type="paragraph" w:customStyle="1" w:styleId="TableHeading">
    <w:name w:val="Table Heading"/>
    <w:basedOn w:val="HeadingBase"/>
    <w:rsid w:val="00F76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040"/>
    <w:rPr>
      <w:color w:val="0033CC"/>
      <w:u w:val="none"/>
    </w:rPr>
  </w:style>
  <w:style w:type="paragraph" w:customStyle="1" w:styleId="BodyTextRight">
    <w:name w:val="Body Text Right"/>
    <w:basedOn w:val="BodyText"/>
    <w:rsid w:val="00F76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040"/>
    <w:rPr>
      <w:sz w:val="32"/>
    </w:rPr>
  </w:style>
  <w:style w:type="paragraph" w:customStyle="1" w:styleId="HeadingProcedure">
    <w:name w:val="Heading Procedure"/>
    <w:basedOn w:val="HeadingBase"/>
    <w:next w:val="Normal"/>
    <w:rsid w:val="00F76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040"/>
    <w:pPr>
      <w:spacing w:before="60" w:after="60"/>
    </w:pPr>
  </w:style>
  <w:style w:type="paragraph" w:styleId="ListContinue">
    <w:name w:val="List Continue"/>
    <w:basedOn w:val="List"/>
    <w:rsid w:val="00F76040"/>
    <w:pPr>
      <w:ind w:firstLine="0"/>
    </w:pPr>
  </w:style>
  <w:style w:type="paragraph" w:customStyle="1" w:styleId="ListNote">
    <w:name w:val="List Note"/>
    <w:basedOn w:val="List"/>
    <w:rsid w:val="00F76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040"/>
    <w:rPr>
      <w:rFonts w:ascii="Courier New" w:hAnsi="Courier New"/>
    </w:rPr>
  </w:style>
  <w:style w:type="paragraph" w:customStyle="1" w:styleId="NoteBullet">
    <w:name w:val="Note Bullet"/>
    <w:basedOn w:val="Note"/>
    <w:rsid w:val="00F76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040"/>
    <w:rPr>
      <w:b/>
      <w:smallCaps/>
    </w:rPr>
  </w:style>
  <w:style w:type="paragraph" w:customStyle="1" w:styleId="TableListNumber">
    <w:name w:val="Table List Number"/>
    <w:basedOn w:val="ListNumber"/>
    <w:rsid w:val="00F76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040"/>
    <w:pPr>
      <w:numPr>
        <w:numId w:val="9"/>
      </w:numPr>
    </w:pPr>
  </w:style>
  <w:style w:type="paragraph" w:customStyle="1" w:styleId="ListAlpha2">
    <w:name w:val="List Alpha 2"/>
    <w:basedOn w:val="List2"/>
    <w:rsid w:val="00F76040"/>
    <w:pPr>
      <w:numPr>
        <w:numId w:val="8"/>
      </w:numPr>
    </w:pPr>
  </w:style>
  <w:style w:type="paragraph" w:styleId="List2">
    <w:name w:val="List 2"/>
    <w:basedOn w:val="BodyText"/>
    <w:rsid w:val="00F76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0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6040"/>
    <w:pPr>
      <w:numPr>
        <w:numId w:val="4"/>
      </w:numPr>
    </w:pPr>
  </w:style>
  <w:style w:type="paragraph" w:styleId="ListContinue2">
    <w:name w:val="List Continue 2"/>
    <w:basedOn w:val="List2"/>
    <w:rsid w:val="00F76040"/>
    <w:pPr>
      <w:ind w:firstLine="0"/>
    </w:pPr>
  </w:style>
  <w:style w:type="paragraph" w:styleId="ListContinue3">
    <w:name w:val="List Continue 3"/>
    <w:basedOn w:val="List3"/>
    <w:rsid w:val="00F76040"/>
    <w:pPr>
      <w:ind w:left="1021" w:firstLine="0"/>
    </w:pPr>
  </w:style>
  <w:style w:type="paragraph" w:styleId="ListContinue4">
    <w:name w:val="List Continue 4"/>
    <w:basedOn w:val="List4"/>
    <w:rsid w:val="00F76040"/>
    <w:pPr>
      <w:ind w:firstLine="0"/>
    </w:pPr>
  </w:style>
  <w:style w:type="paragraph" w:styleId="ListContinue5">
    <w:name w:val="List Continue 5"/>
    <w:basedOn w:val="List5"/>
    <w:rsid w:val="00F76040"/>
    <w:pPr>
      <w:ind w:firstLine="0"/>
    </w:pPr>
  </w:style>
  <w:style w:type="paragraph" w:styleId="ListNumber3">
    <w:name w:val="List Number 3"/>
    <w:basedOn w:val="List3"/>
    <w:rsid w:val="00F76040"/>
    <w:pPr>
      <w:numPr>
        <w:numId w:val="5"/>
      </w:numPr>
    </w:pPr>
  </w:style>
  <w:style w:type="paragraph" w:styleId="ListNumber4">
    <w:name w:val="List Number 4"/>
    <w:basedOn w:val="List4"/>
    <w:rsid w:val="00F76040"/>
    <w:pPr>
      <w:numPr>
        <w:numId w:val="6"/>
      </w:numPr>
    </w:pPr>
  </w:style>
  <w:style w:type="paragraph" w:styleId="ListNumber5">
    <w:name w:val="List Number 5"/>
    <w:basedOn w:val="List5"/>
    <w:rsid w:val="00F76040"/>
    <w:pPr>
      <w:numPr>
        <w:numId w:val="7"/>
      </w:numPr>
    </w:pPr>
  </w:style>
  <w:style w:type="paragraph" w:styleId="BlockText">
    <w:name w:val="Block Text"/>
    <w:basedOn w:val="Normal"/>
    <w:rsid w:val="00F76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040"/>
    <w:rPr>
      <w:sz w:val="16"/>
      <w:vertAlign w:val="superscript"/>
    </w:rPr>
  </w:style>
  <w:style w:type="character" w:customStyle="1" w:styleId="Symbols">
    <w:name w:val="Symbols"/>
    <w:basedOn w:val="DefaultParagraphFont"/>
    <w:rsid w:val="00F76040"/>
    <w:rPr>
      <w:rFonts w:ascii="Symbol" w:hAnsi="Symbol"/>
    </w:rPr>
  </w:style>
  <w:style w:type="character" w:customStyle="1" w:styleId="MenuOptions">
    <w:name w:val="Menu Options"/>
    <w:basedOn w:val="DefaultParagraphFont"/>
    <w:rsid w:val="00F76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040"/>
    <w:rPr>
      <w:b/>
    </w:rPr>
  </w:style>
  <w:style w:type="character" w:customStyle="1" w:styleId="Underlined">
    <w:name w:val="Underlined"/>
    <w:basedOn w:val="DefaultParagraphFont"/>
    <w:rsid w:val="00F76040"/>
    <w:rPr>
      <w:u w:val="single"/>
    </w:rPr>
  </w:style>
  <w:style w:type="paragraph" w:customStyle="1" w:styleId="TableBodyTextRight">
    <w:name w:val="Table Body Text Right"/>
    <w:basedOn w:val="TableBodyText"/>
    <w:rsid w:val="00F76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040"/>
    <w:rPr>
      <w:sz w:val="18"/>
    </w:rPr>
  </w:style>
  <w:style w:type="paragraph" w:customStyle="1" w:styleId="BodySmallRight">
    <w:name w:val="Body Small Right"/>
    <w:basedOn w:val="BodyTextRight"/>
    <w:rsid w:val="00F76040"/>
    <w:rPr>
      <w:sz w:val="18"/>
      <w:szCs w:val="18"/>
    </w:rPr>
  </w:style>
  <w:style w:type="paragraph" w:customStyle="1" w:styleId="MarginEdition">
    <w:name w:val="Margin Edition"/>
    <w:basedOn w:val="MarginNote"/>
    <w:rsid w:val="00F76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040"/>
    <w:rPr>
      <w:sz w:val="2"/>
      <w:szCs w:val="2"/>
    </w:rPr>
  </w:style>
  <w:style w:type="character" w:customStyle="1" w:styleId="Small">
    <w:name w:val="Small"/>
    <w:basedOn w:val="DefaultParagraphFont"/>
    <w:rsid w:val="00F76040"/>
    <w:rPr>
      <w:sz w:val="16"/>
    </w:rPr>
  </w:style>
  <w:style w:type="paragraph" w:customStyle="1" w:styleId="WideTable">
    <w:name w:val="Wide Table"/>
    <w:basedOn w:val="Normal"/>
    <w:rsid w:val="00F76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040"/>
  </w:style>
  <w:style w:type="paragraph" w:styleId="Quote">
    <w:name w:val="Quote"/>
    <w:basedOn w:val="Heading1"/>
    <w:link w:val="QuoteChar"/>
    <w:qFormat/>
    <w:rsid w:val="00F76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040"/>
    <w:pPr>
      <w:pageBreakBefore/>
    </w:pPr>
  </w:style>
  <w:style w:type="paragraph" w:customStyle="1" w:styleId="Border">
    <w:name w:val="Border"/>
    <w:basedOn w:val="Normal"/>
    <w:qFormat/>
    <w:rsid w:val="00F76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040"/>
    <w:rPr>
      <w:u w:val="single"/>
    </w:rPr>
  </w:style>
  <w:style w:type="character" w:customStyle="1" w:styleId="BoldandItalics">
    <w:name w:val="Bold and Italics"/>
    <w:qFormat/>
    <w:rsid w:val="00F76040"/>
    <w:rPr>
      <w:b/>
      <w:i/>
      <w:u w:val="none"/>
    </w:rPr>
  </w:style>
  <w:style w:type="paragraph" w:styleId="BalloonText">
    <w:name w:val="Balloon Text"/>
    <w:basedOn w:val="Normal"/>
    <w:link w:val="BalloonTextChar"/>
    <w:rsid w:val="00F76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040"/>
    <w:pPr>
      <w:spacing w:before="0" w:after="0"/>
    </w:pPr>
  </w:style>
  <w:style w:type="paragraph" w:customStyle="1" w:styleId="BodyTextBold">
    <w:name w:val="Body Text Bold"/>
    <w:basedOn w:val="BodyText"/>
    <w:qFormat/>
    <w:rsid w:val="00F76040"/>
    <w:rPr>
      <w:b/>
    </w:rPr>
  </w:style>
  <w:style w:type="character" w:styleId="Hyperlink">
    <w:name w:val="Hyperlink"/>
    <w:basedOn w:val="DefaultParagraphFont"/>
    <w:uiPriority w:val="99"/>
    <w:unhideWhenUsed/>
    <w:rsid w:val="00E96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3067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CPPACC5009 Evaluate and select construction materials for accessible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