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B34" w:rsidP="00857B34">
      <w:pPr>
        <w:pStyle w:val="Title"/>
      </w:pPr>
      <w:r>
        <w:fldChar w:fldCharType="begin"/>
      </w:r>
      <w:r>
        <w:instrText xml:space="preserve"> TITLE   \* MERGEFORMAT </w:instrText>
      </w:r>
      <w:r>
        <w:fldChar w:fldCharType="separate"/>
      </w:r>
      <w:r>
        <w:t>CPPACC5005 Interpret and apply building control legislation when assessing large-scale buildings for access</w:t>
      </w:r>
      <w:r>
        <w:fldChar w:fldCharType="end"/>
      </w:r>
    </w:p>
    <w:p w:rsidR="00857B34" w:rsidP="00857B34">
      <w:pPr>
        <w:pStyle w:val="Version"/>
        <w:sectPr w:rsidSect="00B418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831" w:rsidP="00B41831">
      <w:pPr>
        <w:pStyle w:val="SuperHeading"/>
      </w:pPr>
      <w:r w:rsidRPr="00B41831">
        <w:t>CPPACC5005 Interpret and apply building control legislation when assessing large-scale buildings for access</w:t>
      </w:r>
    </w:p>
    <w:p w:rsidR="00000000" w:rsidRPr="00B41831" w:rsidP="00B41831">
      <w:pPr>
        <w:pStyle w:val="Heading1"/>
      </w:pPr>
      <w:bookmarkStart w:id="1" w:name="O_1173486"/>
      <w:bookmarkEnd w:id="1"/>
      <w:r w:rsidRPr="00B41831">
        <w:t>Modification History</w:t>
      </w:r>
    </w:p>
    <w:tbl>
      <w:tblPr>
        <w:tblW w:w="0" w:type="auto"/>
        <w:tblLayout w:type="fixed"/>
        <w:tblCellMar>
          <w:left w:w="62" w:type="dxa"/>
          <w:right w:w="62" w:type="dxa"/>
        </w:tblCellMar>
        <w:tblLook w:val="0000"/>
      </w:tblPr>
      <w:tblGrid>
        <w:gridCol w:w="1128"/>
        <w:gridCol w:w="7944"/>
      </w:tblGrid>
      <w:tr w:rsidTr="00B418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Release 1</w:t>
            </w:r>
          </w:p>
        </w:tc>
        <w:tc>
          <w:tcPr>
            <w:tcW w:w="7944" w:type="dxa"/>
            <w:tcBorders>
              <w:top w:val="nil"/>
              <w:left w:val="nil"/>
              <w:bottom w:val="nil"/>
              <w:right w:val="nil"/>
            </w:tcBorders>
            <w:tcMar>
              <w:top w:w="0" w:type="dxa"/>
              <w:left w:w="62" w:type="dxa"/>
              <w:bottom w:w="0" w:type="dxa"/>
              <w:right w:w="62" w:type="dxa"/>
            </w:tcMar>
          </w:tcPr>
          <w:p w:rsidR="00000000" w:rsidRPr="00B41831" w:rsidP="00B41831">
            <w:pPr>
              <w:pStyle w:val="BodyText"/>
            </w:pPr>
            <w:r w:rsidRPr="00B41831">
              <w:t>This unit first released with CPP Property Services Training Package Release 14.0.</w:t>
            </w:r>
          </w:p>
          <w:p w:rsidR="00000000" w:rsidRPr="00B41831" w:rsidP="00B41831">
            <w:pPr>
              <w:pStyle w:val="BodyText"/>
            </w:pPr>
            <w:r w:rsidRPr="00B41831">
              <w:t>Supersedes and is equivalent to CPPACC5005A Interpret and apply building control legislation when assessing large-scale buildings for access.</w:t>
            </w:r>
          </w:p>
          <w:p w:rsidR="00000000" w:rsidRPr="00B41831" w:rsidP="00B41831">
            <w:pPr>
              <w:pStyle w:val="BodyText"/>
            </w:pPr>
            <w:r w:rsidRPr="00B41831">
              <w:t xml:space="preserve">Unit updated to meet the Standards for Training Packages 2012. </w:t>
            </w:r>
          </w:p>
        </w:tc>
      </w:tr>
    </w:tbl>
    <w:p w:rsidR="00000000" w:rsidRPr="00B41831" w:rsidP="00B41831">
      <w:pPr>
        <w:pStyle w:val="BodyText"/>
      </w:pPr>
    </w:p>
    <w:p w:rsidR="00000000" w:rsidRPr="00B41831" w:rsidP="00B41831">
      <w:pPr>
        <w:pStyle w:val="AllowPageBreak"/>
      </w:pPr>
    </w:p>
    <w:p w:rsidR="00000000" w:rsidRPr="00B41831" w:rsidP="00B41831">
      <w:pPr>
        <w:pStyle w:val="Heading1"/>
      </w:pPr>
      <w:bookmarkStart w:id="2" w:name="O_1173492"/>
      <w:bookmarkEnd w:id="2"/>
      <w:r w:rsidRPr="00B41831">
        <w:t>Application</w:t>
      </w:r>
    </w:p>
    <w:p w:rsidR="00000000" w:rsidRPr="00B41831" w:rsidP="00857B34">
      <w:pPr>
        <w:pStyle w:val="BodyText"/>
      </w:pPr>
      <w:r w:rsidRPr="00B41831">
        <w:t>This unit of comp</w:t>
      </w:r>
      <w:r w:rsidRPr="00B41831">
        <w:t>etency specifies the skills and knowledge required to research, interpret and apply building accessibility legislation when assessing the accessibility of large-scale buildings. Large-scale buildings are buildings of any class as defined in the National Co</w:t>
      </w:r>
      <w:r w:rsidRPr="00B41831">
        <w:t>nstruction Code (NCC) and which exceed 2,000 square metres in floor area. The unit includes interpreting and evaluating the Australian common law system and various sources of law applicable to the accessibility of large-scale building developments and ana</w:t>
      </w:r>
      <w:r w:rsidRPr="00B41831">
        <w:t>lysing and applying professional codes of practice for the assessment and inspection of buildings.</w:t>
      </w:r>
    </w:p>
    <w:p w:rsidR="00000000" w:rsidRPr="00B41831" w:rsidP="00857B34">
      <w:pPr>
        <w:pStyle w:val="BodyText"/>
      </w:pPr>
      <w:r w:rsidRPr="00B41831">
        <w:t>This unit is for individuals who are self-directed and have substantial depth of knowledge and skills to make independent judgements in the provision of acce</w:t>
      </w:r>
      <w:r w:rsidRPr="00B41831">
        <w:t>ss consulting services.</w:t>
      </w:r>
    </w:p>
    <w:p w:rsidR="00000000" w:rsidRPr="00B41831" w:rsidP="00857B34">
      <w:pPr>
        <w:pStyle w:val="BodyText"/>
      </w:pPr>
      <w:r w:rsidRPr="00B41831">
        <w:t>No licensing, legislative or certification requirements apply to this unit at the time of publication.</w:t>
      </w:r>
    </w:p>
    <w:p w:rsidR="00000000" w:rsidRPr="00B41831" w:rsidP="00B41831">
      <w:pPr>
        <w:pStyle w:val="Heading1"/>
      </w:pPr>
      <w:bookmarkStart w:id="3" w:name="O_1173491"/>
      <w:bookmarkEnd w:id="3"/>
      <w:r w:rsidRPr="00B41831">
        <w:t>Pre-requisite Unit</w:t>
      </w:r>
    </w:p>
    <w:p w:rsidR="00000000" w:rsidRPr="00B41831" w:rsidP="00857B34">
      <w:pPr>
        <w:pStyle w:val="BodyText"/>
      </w:pPr>
      <w:r w:rsidRPr="00B41831">
        <w:t>Nil.</w:t>
      </w:r>
    </w:p>
    <w:p w:rsidR="00000000" w:rsidRPr="00B41831" w:rsidP="00B41831">
      <w:pPr>
        <w:pStyle w:val="Heading1"/>
      </w:pPr>
      <w:bookmarkStart w:id="4" w:name="O_1173490"/>
      <w:bookmarkEnd w:id="4"/>
      <w:r w:rsidRPr="00B41831">
        <w:t>Unit Sector</w:t>
      </w:r>
    </w:p>
    <w:p w:rsidR="00000000" w:rsidRPr="00B41831" w:rsidP="00857B34">
      <w:pPr>
        <w:pStyle w:val="BodyText"/>
      </w:pPr>
      <w:r w:rsidRPr="00B41831">
        <w:t>Access Consulting.</w:t>
      </w:r>
    </w:p>
    <w:p w:rsidR="00000000" w:rsidRPr="00B41831" w:rsidP="00B41831">
      <w:pPr>
        <w:pStyle w:val="Heading1"/>
      </w:pPr>
      <w:bookmarkStart w:id="5" w:name="O_1173489"/>
      <w:bookmarkEnd w:id="5"/>
      <w:r w:rsidRPr="00B41831">
        <w:t>Elements and Perf</w:t>
      </w:r>
      <w:r w:rsidRPr="00B41831">
        <w:t>ormance Criteria</w:t>
      </w:r>
    </w:p>
    <w:tbl>
      <w:tblPr>
        <w:tblW w:w="0" w:type="auto"/>
        <w:tblLayout w:type="fixed"/>
        <w:tblCellMar>
          <w:left w:w="62" w:type="dxa"/>
          <w:right w:w="62" w:type="dxa"/>
        </w:tblCellMar>
        <w:tblLook w:val="0000"/>
      </w:tblPr>
      <w:tblGrid>
        <w:gridCol w:w="313"/>
        <w:gridCol w:w="2357"/>
        <w:gridCol w:w="804"/>
        <w:gridCol w:w="5659"/>
      </w:tblGrid>
      <w:tr w:rsidTr="00B4183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Performance criteria describe what needs to be done to demonstrate achievement of the element.</w:t>
            </w:r>
          </w:p>
        </w:tc>
      </w:tr>
      <w:tr w:rsidTr="00B418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1</w:t>
            </w:r>
          </w:p>
        </w:tc>
        <w:tc>
          <w:tcPr>
            <w:tcW w:w="2357"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 xml:space="preserve">Research and analyse the Australian </w:t>
            </w:r>
            <w:r w:rsidRPr="00B41831">
              <w:t>administrative legal system.</w:t>
            </w: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1.1</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 xml:space="preserve">Interpret and document the differences between common law, statute law, delegated legislation and local </w:t>
            </w:r>
            <w:r w:rsidRPr="00B41831">
              <w:t>government law.</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1.2</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Research and analyse civil law and examples of civil action relevant to building accessibility of large-scale buildings.</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1.3</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Research and analyse administrative law relevant to building accessibility.</w:t>
            </w:r>
          </w:p>
        </w:tc>
      </w:tr>
      <w:tr w:rsidTr="00B418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1831">
            <w:pPr>
              <w:pStyle w:val="BodyText"/>
              <w:rPr>
                <w:lang w:val="en-NZ"/>
              </w:rPr>
            </w:pPr>
          </w:p>
        </w:tc>
      </w:tr>
      <w:tr w:rsidTr="00B418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2</w:t>
            </w:r>
          </w:p>
        </w:tc>
        <w:tc>
          <w:tcPr>
            <w:tcW w:w="2357"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Evaluate administrative law applicable to building accessibility.</w:t>
            </w: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2.1</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Evaluate and document individual elements of judicial review legislation.</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2.2</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Identify and evaluate natural justice issues related to decision making through the building control process.</w:t>
            </w:r>
          </w:p>
        </w:tc>
      </w:tr>
      <w:tr w:rsidTr="00B418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1831">
            <w:pPr>
              <w:pStyle w:val="BodyText"/>
              <w:rPr>
                <w:lang w:val="en-NZ"/>
              </w:rPr>
            </w:pPr>
          </w:p>
        </w:tc>
      </w:tr>
      <w:tr w:rsidTr="00B418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3</w:t>
            </w:r>
          </w:p>
        </w:tc>
        <w:tc>
          <w:tcPr>
            <w:tcW w:w="2357"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Identify and analyse the procedures and benefits of enforcing the law.</w:t>
            </w: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3.1</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Research, analyse and document the legislative benefits and ex</w:t>
            </w:r>
            <w:r w:rsidRPr="00B41831">
              <w:t>amples of building accessibility enforcement.</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3.2</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Identify and record major regulatory enforcement strategies for building accessibility.</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3.3</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Identify, analyse and document building certifier powers of entry and legal considerations for obtaining warrants.</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3.4</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Identify, gather and document types of evidence required to investigate and prove breaches of legislation.</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3.5</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Identify processes f</w:t>
            </w:r>
            <w:r w:rsidRPr="00B41831">
              <w:t>or addressing regulatory non-compliances and prepare related working documentation in a format suitable for review by a building certifier.</w:t>
            </w:r>
          </w:p>
        </w:tc>
      </w:tr>
      <w:tr w:rsidTr="00B418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1831">
            <w:pPr>
              <w:pStyle w:val="BodyText"/>
              <w:rPr>
                <w:lang w:val="en-NZ"/>
              </w:rPr>
            </w:pPr>
          </w:p>
        </w:tc>
      </w:tr>
      <w:tr w:rsidTr="00B418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4</w:t>
            </w:r>
          </w:p>
        </w:tc>
        <w:tc>
          <w:tcPr>
            <w:tcW w:w="2357"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Analyse the impact of any other legislation on state and territory legislation regarding bu</w:t>
            </w:r>
            <w:r w:rsidRPr="00B41831">
              <w:t>ilding and development control and access.</w:t>
            </w: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4.1</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Analyse and document the implications of Commonwealth access legislation on state and territory building and development control legislation.</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4.2</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Analyse and document the implications of other state and ter</w:t>
            </w:r>
            <w:r w:rsidRPr="00B41831">
              <w:t>ritory legislation on building and development control legislation and access.</w:t>
            </w:r>
          </w:p>
        </w:tc>
      </w:tr>
      <w:tr w:rsidTr="00B418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1831">
            <w:pPr>
              <w:pStyle w:val="BodyText"/>
              <w:rPr>
                <w:lang w:val="en-NZ"/>
              </w:rPr>
            </w:pPr>
          </w:p>
        </w:tc>
      </w:tr>
      <w:tr w:rsidTr="00B418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5</w:t>
            </w:r>
          </w:p>
        </w:tc>
        <w:tc>
          <w:tcPr>
            <w:tcW w:w="2357"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 xml:space="preserve">Analyse the professional code of </w:t>
            </w:r>
            <w:r w:rsidRPr="00B41831">
              <w:t>practice applicable to the assessment of accessible large-scale buildings.</w:t>
            </w: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5.1</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 xml:space="preserve">Analyse the professional code of practice required by building industry regulators and applicable to assessment </w:t>
            </w:r>
            <w:r w:rsidRPr="00B41831">
              <w:t>activities.</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5.2</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Evaluate concepts associated with working within o</w:t>
            </w:r>
            <w:r w:rsidRPr="00B41831">
              <w:t>wn area of personal competence and practise in relation to assessment activities.</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5.3</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Evaluate and document duty of care concepts associated with assessment activities to meet common law requirements.</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5.4</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Evaluate conflict of interest concepts and ma</w:t>
            </w:r>
            <w:r w:rsidRPr="00B41831">
              <w:t>nage in relation to assessment activities.</w:t>
            </w:r>
          </w:p>
        </w:tc>
      </w:tr>
      <w:tr w:rsidTr="00B418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1831">
            <w:pPr>
              <w:pStyle w:val="BodyText"/>
              <w:rPr>
                <w:lang w:val="en-NZ"/>
              </w:rPr>
            </w:pPr>
          </w:p>
        </w:tc>
      </w:tr>
      <w:tr w:rsidTr="00B418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6</w:t>
            </w:r>
          </w:p>
        </w:tc>
        <w:tc>
          <w:tcPr>
            <w:tcW w:w="2357" w:type="dxa"/>
            <w:vMerge w:val="restart"/>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Analyse the responsibilities and liabilities of access consultants and building certifiers and develop effective working relationships.</w:t>
            </w: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6.1</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Evaluate and document responsibilities and liabilities of access consultants.</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6.2</w:t>
            </w:r>
          </w:p>
        </w:tc>
        <w:tc>
          <w:tcPr>
            <w:tcW w:w="5659"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Evaluate and document the statutory duties, responsibilities and liabilities of building certifiers as specified by relevant legislation.</w:t>
            </w:r>
          </w:p>
        </w:tc>
      </w:tr>
      <w:tr w:rsidTr="00B418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1831">
            <w:pPr>
              <w:pStyle w:val="BodyText"/>
              <w:rPr>
                <w:lang w:val="en-NZ"/>
              </w:rPr>
            </w:pPr>
            <w:r w:rsidRPr="00B41831">
              <w:t>6.3</w:t>
            </w:r>
          </w:p>
        </w:tc>
        <w:tc>
          <w:tcPr>
            <w:tcW w:w="5659" w:type="dxa"/>
            <w:tcBorders>
              <w:top w:val="nil"/>
              <w:left w:val="nil"/>
              <w:bottom w:val="nil"/>
              <w:right w:val="nil"/>
            </w:tcBorders>
            <w:tcMar>
              <w:top w:w="0" w:type="dxa"/>
              <w:left w:w="62" w:type="dxa"/>
              <w:bottom w:w="0" w:type="dxa"/>
              <w:right w:w="62" w:type="dxa"/>
            </w:tcMar>
          </w:tcPr>
          <w:p w:rsidR="00000000" w:rsidRPr="00B41831" w:rsidP="00B41831">
            <w:pPr>
              <w:pStyle w:val="BodyText"/>
            </w:pPr>
            <w:r w:rsidRPr="00B41831">
              <w:t>Develop and implement strategies to establish and maintain effective working relationships between access consultants and building certifiers.</w:t>
            </w:r>
          </w:p>
        </w:tc>
      </w:tr>
    </w:tbl>
    <w:p w:rsidR="00000000" w:rsidRPr="00B41831" w:rsidP="00B41831">
      <w:pPr>
        <w:pStyle w:val="BodyText"/>
      </w:pPr>
    </w:p>
    <w:p w:rsidR="00000000" w:rsidRPr="00B41831" w:rsidP="00B41831">
      <w:pPr>
        <w:pStyle w:val="AllowPageBreak"/>
      </w:pPr>
    </w:p>
    <w:p w:rsidR="00000000" w:rsidRPr="00B41831" w:rsidP="00B41831">
      <w:pPr>
        <w:pStyle w:val="Heading1"/>
      </w:pPr>
      <w:bookmarkStart w:id="6" w:name="O_1173488"/>
      <w:bookmarkEnd w:id="6"/>
      <w:r w:rsidRPr="00B41831">
        <w:t>Foundation Skills</w:t>
      </w:r>
    </w:p>
    <w:p w:rsidR="00000000" w:rsidRPr="00B41831" w:rsidP="00857B34">
      <w:pPr>
        <w:pStyle w:val="BodyText"/>
      </w:pPr>
      <w:r w:rsidRPr="00B41831">
        <w:t>Foundation skills essential to performance are explicit in the performance</w:t>
      </w:r>
      <w:r w:rsidRPr="00B41831">
        <w:t xml:space="preserve"> criteria of this unit of competency.</w:t>
      </w:r>
    </w:p>
    <w:p w:rsidR="00000000" w:rsidRPr="00B41831" w:rsidP="00B41831">
      <w:pPr>
        <w:pStyle w:val="Heading1"/>
      </w:pPr>
      <w:bookmarkStart w:id="7" w:name="O_1173487"/>
      <w:bookmarkEnd w:id="7"/>
      <w:r w:rsidRPr="00B41831">
        <w:t>Unit Mapping Information</w:t>
      </w:r>
    </w:p>
    <w:p w:rsidR="00000000" w:rsidRPr="00B41831" w:rsidP="00857B34">
      <w:pPr>
        <w:pStyle w:val="BodyText"/>
      </w:pPr>
      <w:r w:rsidRPr="00B41831">
        <w:t>Supersedes and is equivalent to CPPACC5005A Interpret and apply building control legislation when assessing large-scale buildings for access.</w:t>
      </w:r>
    </w:p>
    <w:p w:rsidR="00000000" w:rsidRPr="00B41831" w:rsidP="00B41831">
      <w:pPr>
        <w:pStyle w:val="Heading1"/>
      </w:pPr>
      <w:bookmarkStart w:id="8" w:name="O_1173480"/>
      <w:bookmarkEnd w:id="8"/>
      <w:r w:rsidRPr="00B41831">
        <w:t>Links</w:t>
      </w:r>
    </w:p>
    <w:p w:rsidR="00000000" w:rsidRPr="00B41831" w:rsidP="00857B34">
      <w:pPr>
        <w:pStyle w:val="BodyText"/>
      </w:pPr>
      <w:r w:rsidRPr="00B4183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1398C">
        <w:rPr>
          <w:rStyle w:val="Hyperlink"/>
        </w:rPr>
        <w:t>https://vetnet.gov.au/Pages/TrainingDocs.aspx?q=6f3f9672-30e8-4835-b348-205dfcf13d9b</w:t>
      </w:r>
      <w:r>
        <w:fldChar w:fldCharType="end"/>
      </w:r>
    </w:p>
    <w:p w:rsidR="00000000" w:rsidRPr="00B41831" w:rsidP="00B41831"/>
    <w:sectPr w:rsidSect="00B418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31" w:rsidRPr="00857B34" w:rsidP="00857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34" w:rsidP="00B41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B34" w:rsidP="00B418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57B34" w:rsidP="00B418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831" w:rsidRPr="00857B34" w:rsidP="00857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34" w:rsidRPr="002D2AF8" w:rsidP="00B41831">
    <w:pPr>
      <w:pStyle w:val="Header"/>
      <w:framePr w:wrap="around"/>
    </w:pPr>
    <w:r>
      <w:fldChar w:fldCharType="begin"/>
    </w:r>
    <w:r>
      <w:instrText xml:space="preserve"> TITLE   \* MERGEFORMAT </w:instrText>
    </w:r>
    <w:r>
      <w:fldChar w:fldCharType="separate"/>
    </w:r>
    <w:r>
      <w:t>CPPACC5005 Interpret and apply building control legislation when assessing large-scale buildings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57B34" w:rsidP="00B41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831"/>
    <w:pPr>
      <w:spacing w:before="360" w:after="60"/>
      <w:outlineLvl w:val="0"/>
    </w:pPr>
    <w:rPr>
      <w:sz w:val="32"/>
    </w:rPr>
  </w:style>
  <w:style w:type="paragraph" w:styleId="Heading2">
    <w:name w:val="heading 2"/>
    <w:basedOn w:val="HeadingBase"/>
    <w:next w:val="BodyText"/>
    <w:link w:val="Heading2Char"/>
    <w:qFormat/>
    <w:rsid w:val="00B41831"/>
    <w:pPr>
      <w:keepLines/>
      <w:spacing w:before="240" w:after="120"/>
      <w:outlineLvl w:val="1"/>
    </w:pPr>
    <w:rPr>
      <w:sz w:val="28"/>
      <w:szCs w:val="40"/>
    </w:rPr>
  </w:style>
  <w:style w:type="paragraph" w:styleId="Heading3">
    <w:name w:val="heading 3"/>
    <w:basedOn w:val="HeadingBase"/>
    <w:next w:val="BodyText"/>
    <w:link w:val="Heading3Char"/>
    <w:qFormat/>
    <w:rsid w:val="00B41831"/>
    <w:pPr>
      <w:spacing w:before="180" w:after="120"/>
      <w:outlineLvl w:val="2"/>
    </w:pPr>
    <w:rPr>
      <w:spacing w:val="-10"/>
      <w:kern w:val="32"/>
    </w:rPr>
  </w:style>
  <w:style w:type="paragraph" w:styleId="Heading4">
    <w:name w:val="heading 4"/>
    <w:basedOn w:val="HeadingBase"/>
    <w:next w:val="BodyText"/>
    <w:link w:val="Heading4Char"/>
    <w:qFormat/>
    <w:rsid w:val="00B41831"/>
    <w:pPr>
      <w:spacing w:before="160" w:after="120"/>
      <w:outlineLvl w:val="3"/>
    </w:pPr>
    <w:rPr>
      <w:sz w:val="22"/>
    </w:rPr>
  </w:style>
  <w:style w:type="paragraph" w:styleId="Heading5">
    <w:name w:val="heading 5"/>
    <w:basedOn w:val="HeadingBase"/>
    <w:next w:val="Normal"/>
    <w:link w:val="Heading5Char"/>
    <w:qFormat/>
    <w:rsid w:val="00B41831"/>
    <w:pPr>
      <w:spacing w:before="80"/>
      <w:outlineLvl w:val="4"/>
    </w:pPr>
    <w:rPr>
      <w:color w:val="918585"/>
      <w:sz w:val="20"/>
    </w:rPr>
  </w:style>
  <w:style w:type="paragraph" w:styleId="Heading6">
    <w:name w:val="heading 6"/>
    <w:basedOn w:val="HeadingBase"/>
    <w:next w:val="Normal"/>
    <w:link w:val="Heading6Char"/>
    <w:qFormat/>
    <w:rsid w:val="00B41831"/>
    <w:pPr>
      <w:spacing w:before="60"/>
      <w:outlineLvl w:val="5"/>
    </w:pPr>
    <w:rPr>
      <w:color w:val="918585"/>
      <w:sz w:val="20"/>
    </w:rPr>
  </w:style>
  <w:style w:type="paragraph" w:styleId="Heading7">
    <w:name w:val="heading 7"/>
    <w:basedOn w:val="Normal"/>
    <w:next w:val="Normal"/>
    <w:link w:val="Heading7Char"/>
    <w:qFormat/>
    <w:rsid w:val="00B41831"/>
    <w:pPr>
      <w:ind w:left="720"/>
      <w:outlineLvl w:val="6"/>
    </w:pPr>
    <w:rPr>
      <w:i/>
    </w:rPr>
  </w:style>
  <w:style w:type="paragraph" w:styleId="Heading8">
    <w:name w:val="heading 8"/>
    <w:basedOn w:val="Normal"/>
    <w:next w:val="Normal"/>
    <w:link w:val="Heading8Char"/>
    <w:qFormat/>
    <w:rsid w:val="00B41831"/>
    <w:pPr>
      <w:ind w:left="720"/>
      <w:outlineLvl w:val="7"/>
    </w:pPr>
    <w:rPr>
      <w:i/>
    </w:rPr>
  </w:style>
  <w:style w:type="paragraph" w:styleId="Heading9">
    <w:name w:val="heading 9"/>
    <w:basedOn w:val="Normal"/>
    <w:next w:val="Normal"/>
    <w:link w:val="Heading9Char"/>
    <w:qFormat/>
    <w:rsid w:val="00B41831"/>
    <w:pPr>
      <w:ind w:left="720"/>
      <w:outlineLvl w:val="8"/>
    </w:pPr>
    <w:rPr>
      <w:i/>
    </w:rPr>
  </w:style>
  <w:style w:type="character" w:default="1" w:styleId="DefaultParagraphFont">
    <w:name w:val="Default Paragraph Font"/>
    <w:uiPriority w:val="1"/>
    <w:unhideWhenUsed/>
    <w:rsid w:val="00B41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831"/>
  </w:style>
  <w:style w:type="character" w:customStyle="1" w:styleId="Heading1Char">
    <w:name w:val="Heading 1 Char"/>
    <w:basedOn w:val="DefaultParagraphFont"/>
    <w:link w:val="Heading1"/>
    <w:rsid w:val="00B41831"/>
    <w:rPr>
      <w:rFonts w:ascii="Times New Roman" w:eastAsia="Times New Roman" w:hAnsi="Times New Roman" w:cs="Times New Roman"/>
      <w:b/>
      <w:sz w:val="32"/>
      <w:szCs w:val="20"/>
      <w:lang w:eastAsia="en-US"/>
    </w:rPr>
  </w:style>
  <w:style w:type="paragraph" w:styleId="BodyText">
    <w:name w:val="Body Text"/>
    <w:basedOn w:val="Normal"/>
    <w:link w:val="BodyTextChar"/>
    <w:rsid w:val="00B418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831"/>
    <w:rPr>
      <w:rFonts w:ascii="Times New Roman" w:eastAsia="Times New Roman" w:hAnsi="Times New Roman" w:cs="Times New Roman"/>
      <w:sz w:val="24"/>
      <w:lang w:eastAsia="en-US"/>
    </w:rPr>
  </w:style>
  <w:style w:type="paragraph" w:customStyle="1" w:styleId="SuperHeading">
    <w:name w:val="SuperHeading"/>
    <w:basedOn w:val="Normal"/>
    <w:rsid w:val="00B41831"/>
    <w:pPr>
      <w:spacing w:before="240" w:after="120"/>
      <w:outlineLvl w:val="0"/>
    </w:pPr>
    <w:rPr>
      <w:rFonts w:ascii="Times New Roman" w:hAnsi="Times New Roman"/>
      <w:b/>
      <w:sz w:val="32"/>
    </w:rPr>
  </w:style>
  <w:style w:type="paragraph" w:customStyle="1" w:styleId="AllowPageBreak">
    <w:name w:val="AllowPageBreak"/>
    <w:rsid w:val="00B418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831"/>
    <w:rPr>
      <w:rFonts w:ascii="Courier New" w:eastAsia="Times New Roman" w:hAnsi="Courier New" w:cs="Times New Roman"/>
      <w:i/>
      <w:szCs w:val="20"/>
      <w:lang w:eastAsia="en-US"/>
    </w:rPr>
  </w:style>
  <w:style w:type="paragraph" w:customStyle="1" w:styleId="HeadingBase">
    <w:name w:val="Heading Base"/>
    <w:rsid w:val="00B41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831"/>
    <w:pPr>
      <w:tabs>
        <w:tab w:val="right" w:leader="dot" w:pos="9072"/>
      </w:tabs>
      <w:ind w:left="567"/>
    </w:pPr>
    <w:rPr>
      <w:szCs w:val="22"/>
    </w:rPr>
  </w:style>
  <w:style w:type="paragraph" w:customStyle="1" w:styleId="TOCBase">
    <w:name w:val="TOC Base"/>
    <w:rsid w:val="00B41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831"/>
    <w:pPr>
      <w:tabs>
        <w:tab w:val="right" w:leader="dot" w:pos="9072"/>
      </w:tabs>
      <w:spacing w:before="40" w:after="40"/>
      <w:ind w:left="284"/>
    </w:pPr>
    <w:rPr>
      <w:rFonts w:ascii="Times New Roman" w:hAnsi="Times New Roman"/>
    </w:rPr>
  </w:style>
  <w:style w:type="paragraph" w:styleId="TOC1">
    <w:name w:val="toc 1"/>
    <w:basedOn w:val="TOCBase"/>
    <w:next w:val="Normal"/>
    <w:rsid w:val="00B418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831"/>
    <w:rPr>
      <w:rFonts w:ascii="Times New Roman" w:eastAsia="Times New Roman" w:hAnsi="Times New Roman" w:cs="Times New Roman"/>
      <w:sz w:val="16"/>
      <w:lang w:eastAsia="en-US"/>
    </w:rPr>
  </w:style>
  <w:style w:type="paragraph" w:styleId="Title">
    <w:name w:val="Title"/>
    <w:basedOn w:val="HeadingBase"/>
    <w:link w:val="TitleChar"/>
    <w:qFormat/>
    <w:rsid w:val="00B41831"/>
    <w:pPr>
      <w:spacing w:before="5040"/>
      <w:jc w:val="center"/>
    </w:pPr>
    <w:rPr>
      <w:sz w:val="48"/>
      <w:szCs w:val="72"/>
      <w:lang w:val="en-US"/>
    </w:rPr>
  </w:style>
  <w:style w:type="character" w:customStyle="1" w:styleId="TitleChar">
    <w:name w:val="Title Char"/>
    <w:basedOn w:val="DefaultParagraphFont"/>
    <w:link w:val="Title"/>
    <w:rsid w:val="00B41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831"/>
    <w:pPr>
      <w:tabs>
        <w:tab w:val="left" w:pos="3600"/>
        <w:tab w:val="left" w:pos="3958"/>
      </w:tabs>
    </w:pPr>
  </w:style>
  <w:style w:type="paragraph" w:styleId="List">
    <w:name w:val="List"/>
    <w:basedOn w:val="BodyText"/>
    <w:next w:val="BodyText"/>
    <w:rsid w:val="00B41831"/>
    <w:pPr>
      <w:tabs>
        <w:tab w:val="left" w:pos="340"/>
      </w:tabs>
      <w:spacing w:before="60" w:after="60"/>
      <w:ind w:left="340" w:hanging="340"/>
    </w:pPr>
  </w:style>
  <w:style w:type="paragraph" w:styleId="ListBullet">
    <w:name w:val="List Bullet"/>
    <w:basedOn w:val="List"/>
    <w:rsid w:val="00B41831"/>
    <w:pPr>
      <w:numPr>
        <w:numId w:val="10"/>
      </w:numPr>
      <w:tabs>
        <w:tab w:val="clear" w:pos="340"/>
      </w:tabs>
      <w:spacing w:before="40" w:after="40"/>
    </w:pPr>
  </w:style>
  <w:style w:type="paragraph" w:customStyle="1" w:styleId="Note">
    <w:name w:val="Note"/>
    <w:basedOn w:val="BodyText"/>
    <w:rsid w:val="00B418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1831"/>
    <w:rPr>
      <w:b/>
      <w:spacing w:val="0"/>
    </w:rPr>
  </w:style>
  <w:style w:type="paragraph" w:customStyle="1" w:styleId="SuperTitle">
    <w:name w:val="SuperTitle"/>
    <w:basedOn w:val="Title"/>
    <w:rsid w:val="00B41831"/>
    <w:pPr>
      <w:framePr w:wrap="auto" w:hAnchor="text" w:y="6049"/>
    </w:pPr>
    <w:rPr>
      <w:color w:val="000000"/>
      <w:sz w:val="40"/>
    </w:rPr>
  </w:style>
  <w:style w:type="paragraph" w:customStyle="1" w:styleId="TOCTitle">
    <w:name w:val="TOCTitle"/>
    <w:basedOn w:val="Heading1"/>
    <w:rsid w:val="00B41831"/>
    <w:pPr>
      <w:spacing w:after="240"/>
      <w:jc w:val="center"/>
      <w:outlineLvl w:val="9"/>
    </w:pPr>
    <w:rPr>
      <w:caps/>
    </w:rPr>
  </w:style>
  <w:style w:type="paragraph" w:customStyle="1" w:styleId="Version">
    <w:name w:val="Version"/>
    <w:rsid w:val="00B418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831"/>
    <w:pPr>
      <w:numPr>
        <w:numId w:val="11"/>
      </w:numPr>
      <w:tabs>
        <w:tab w:val="clear" w:pos="680"/>
      </w:tabs>
    </w:pPr>
  </w:style>
  <w:style w:type="paragraph" w:styleId="Index1">
    <w:name w:val="index 1"/>
    <w:basedOn w:val="Normal"/>
    <w:next w:val="Normal"/>
    <w:semiHidden/>
    <w:rsid w:val="00B41831"/>
    <w:pPr>
      <w:keepNext w:val="0"/>
      <w:tabs>
        <w:tab w:val="right" w:pos="4176"/>
      </w:tabs>
      <w:ind w:left="198" w:hanging="198"/>
    </w:pPr>
    <w:rPr>
      <w:rFonts w:ascii="Garamond" w:hAnsi="Garamond"/>
    </w:rPr>
  </w:style>
  <w:style w:type="paragraph" w:styleId="IndexHeading">
    <w:name w:val="index heading"/>
    <w:basedOn w:val="Normal"/>
    <w:next w:val="Index1"/>
    <w:semiHidden/>
    <w:rsid w:val="00B41831"/>
    <w:pPr>
      <w:spacing w:before="120" w:after="120"/>
    </w:pPr>
    <w:rPr>
      <w:rFonts w:ascii="Arial" w:hAnsi="Arial"/>
      <w:b/>
      <w:color w:val="918585"/>
      <w:sz w:val="24"/>
    </w:rPr>
  </w:style>
  <w:style w:type="paragraph" w:styleId="Header">
    <w:name w:val="header"/>
    <w:basedOn w:val="Normal"/>
    <w:link w:val="HeaderChar"/>
    <w:rsid w:val="00B41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831"/>
    <w:rPr>
      <w:rFonts w:ascii="Times New Roman" w:eastAsia="Times New Roman" w:hAnsi="Times New Roman" w:cs="Times New Roman"/>
      <w:sz w:val="16"/>
      <w:szCs w:val="20"/>
      <w:lang w:val="en-GB" w:eastAsia="en-US"/>
    </w:rPr>
  </w:style>
  <w:style w:type="paragraph" w:customStyle="1" w:styleId="Chapter">
    <w:name w:val="Chapter"/>
    <w:basedOn w:val="Normal"/>
    <w:rsid w:val="00B41831"/>
    <w:pPr>
      <w:spacing w:before="240"/>
    </w:pPr>
    <w:rPr>
      <w:rFonts w:ascii="Times New Roman" w:hAnsi="Times New Roman"/>
      <w:smallCaps/>
      <w:spacing w:val="80"/>
      <w:sz w:val="28"/>
    </w:rPr>
  </w:style>
  <w:style w:type="paragraph" w:customStyle="1" w:styleId="InChapter">
    <w:name w:val="InChapter"/>
    <w:basedOn w:val="Heading3"/>
    <w:rsid w:val="00B41831"/>
    <w:pPr>
      <w:spacing w:after="240"/>
      <w:outlineLvl w:val="9"/>
    </w:pPr>
    <w:rPr>
      <w:noProof/>
    </w:rPr>
  </w:style>
  <w:style w:type="paragraph" w:styleId="Index2">
    <w:name w:val="index 2"/>
    <w:basedOn w:val="Normal"/>
    <w:next w:val="Normal"/>
    <w:semiHidden/>
    <w:rsid w:val="00B41831"/>
    <w:pPr>
      <w:tabs>
        <w:tab w:val="right" w:pos="4176"/>
      </w:tabs>
      <w:ind w:left="568" w:hanging="284"/>
    </w:pPr>
    <w:rPr>
      <w:rFonts w:ascii="Garamond" w:hAnsi="Garamond"/>
    </w:rPr>
  </w:style>
  <w:style w:type="paragraph" w:customStyle="1" w:styleId="Byline">
    <w:name w:val="Byline"/>
    <w:rsid w:val="00B41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831"/>
    <w:pPr>
      <w:tabs>
        <w:tab w:val="clear" w:pos="3600"/>
        <w:tab w:val="clear" w:pos="3958"/>
      </w:tabs>
      <w:jc w:val="right"/>
    </w:pPr>
  </w:style>
  <w:style w:type="character" w:styleId="Emphasis">
    <w:name w:val="Emphasis"/>
    <w:basedOn w:val="DefaultParagraphFont"/>
    <w:qFormat/>
    <w:rsid w:val="00B41831"/>
    <w:rPr>
      <w:i/>
    </w:rPr>
  </w:style>
  <w:style w:type="paragraph" w:styleId="Caption">
    <w:name w:val="caption"/>
    <w:basedOn w:val="BodyText"/>
    <w:next w:val="Normal"/>
    <w:qFormat/>
    <w:rsid w:val="00B41831"/>
    <w:pPr>
      <w:framePr w:w="2268" w:hSpace="181" w:vSpace="181" w:wrap="around" w:vAnchor="text" w:hAnchor="page" w:x="1135" w:y="285" w:anchorLock="1"/>
    </w:pPr>
    <w:rPr>
      <w:i/>
    </w:rPr>
  </w:style>
  <w:style w:type="paragraph" w:customStyle="1" w:styleId="MiniTOCTitle">
    <w:name w:val="MiniTOCTitle"/>
    <w:basedOn w:val="Heading4"/>
    <w:rsid w:val="00B41831"/>
    <w:pPr>
      <w:spacing w:before="240"/>
      <w:outlineLvl w:val="9"/>
    </w:pPr>
    <w:rPr>
      <w:noProof/>
      <w:sz w:val="24"/>
    </w:rPr>
  </w:style>
  <w:style w:type="paragraph" w:customStyle="1" w:styleId="MiniTOCItem">
    <w:name w:val="MiniTOCItem"/>
    <w:basedOn w:val="ListBullet"/>
    <w:rsid w:val="00B41831"/>
    <w:pPr>
      <w:numPr>
        <w:numId w:val="0"/>
      </w:numPr>
      <w:tabs>
        <w:tab w:val="right" w:leader="dot" w:pos="6521"/>
      </w:tabs>
      <w:spacing w:before="0" w:after="0"/>
    </w:pPr>
  </w:style>
  <w:style w:type="paragraph" w:customStyle="1" w:styleId="TOFTitle">
    <w:name w:val="TOFTitle"/>
    <w:basedOn w:val="TOCTitle"/>
    <w:rsid w:val="00B41831"/>
  </w:style>
  <w:style w:type="paragraph" w:styleId="TableofFigures">
    <w:name w:val="table of figures"/>
    <w:basedOn w:val="Normal"/>
    <w:next w:val="Normal"/>
    <w:semiHidden/>
    <w:rsid w:val="00B41831"/>
    <w:pPr>
      <w:tabs>
        <w:tab w:val="right" w:leader="dot" w:pos="9072"/>
      </w:tabs>
      <w:ind w:left="970" w:hanging="403"/>
    </w:pPr>
    <w:rPr>
      <w:rFonts w:ascii="Times New Roman" w:hAnsi="Times New Roman"/>
      <w:b/>
    </w:rPr>
  </w:style>
  <w:style w:type="paragraph" w:styleId="ListNumber">
    <w:name w:val="List Number"/>
    <w:basedOn w:val="List"/>
    <w:rsid w:val="00B41831"/>
    <w:pPr>
      <w:numPr>
        <w:numId w:val="13"/>
      </w:numPr>
      <w:tabs>
        <w:tab w:val="clear" w:pos="340"/>
      </w:tabs>
    </w:pPr>
  </w:style>
  <w:style w:type="character" w:customStyle="1" w:styleId="WingdingSymbols">
    <w:name w:val="Wingding Symbols"/>
    <w:rsid w:val="00B41831"/>
    <w:rPr>
      <w:rFonts w:ascii="Wingdings" w:hAnsi="Wingdings"/>
    </w:rPr>
  </w:style>
  <w:style w:type="paragraph" w:customStyle="1" w:styleId="TableHeading">
    <w:name w:val="Table Heading"/>
    <w:basedOn w:val="HeadingBase"/>
    <w:rsid w:val="00B41831"/>
    <w:pPr>
      <w:keepLines/>
      <w:pBdr>
        <w:bottom w:val="single" w:sz="6" w:space="1" w:color="918585"/>
      </w:pBdr>
      <w:spacing w:before="240"/>
    </w:pPr>
  </w:style>
  <w:style w:type="character" w:customStyle="1" w:styleId="HotSpot">
    <w:name w:val="HotSpot"/>
    <w:rsid w:val="00B41831"/>
    <w:rPr>
      <w:color w:val="0033CC"/>
      <w:u w:val="none"/>
    </w:rPr>
  </w:style>
  <w:style w:type="paragraph" w:customStyle="1" w:styleId="BodyTextRight">
    <w:name w:val="Body Text Right"/>
    <w:basedOn w:val="BodyText"/>
    <w:rsid w:val="00B41831"/>
    <w:pPr>
      <w:spacing w:before="0" w:after="0"/>
      <w:jc w:val="right"/>
    </w:pPr>
  </w:style>
  <w:style w:type="paragraph" w:styleId="Index3">
    <w:name w:val="index 3"/>
    <w:basedOn w:val="ListNumber2"/>
    <w:next w:val="Normal"/>
    <w:semiHidden/>
    <w:rsid w:val="00B41831"/>
    <w:pPr>
      <w:numPr>
        <w:numId w:val="0"/>
      </w:numPr>
      <w:tabs>
        <w:tab w:val="right" w:leader="dot" w:pos="4176"/>
      </w:tabs>
    </w:pPr>
  </w:style>
  <w:style w:type="paragraph" w:styleId="ListNumber2">
    <w:name w:val="List Number 2"/>
    <w:basedOn w:val="List2"/>
    <w:rsid w:val="00B41831"/>
    <w:pPr>
      <w:numPr>
        <w:numId w:val="8"/>
      </w:numPr>
      <w:tabs>
        <w:tab w:val="clear" w:pos="1060"/>
      </w:tabs>
    </w:pPr>
  </w:style>
  <w:style w:type="paragraph" w:customStyle="1" w:styleId="MarginNote">
    <w:name w:val="Margin Note"/>
    <w:basedOn w:val="BodyText"/>
    <w:rsid w:val="00B41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831"/>
    <w:rPr>
      <w:sz w:val="32"/>
    </w:rPr>
  </w:style>
  <w:style w:type="paragraph" w:customStyle="1" w:styleId="HeadingProcedure">
    <w:name w:val="Heading Procedure"/>
    <w:basedOn w:val="HeadingBase"/>
    <w:next w:val="Normal"/>
    <w:rsid w:val="00B41831"/>
    <w:pPr>
      <w:tabs>
        <w:tab w:val="left" w:pos="0"/>
      </w:tabs>
      <w:spacing w:before="120" w:after="60"/>
    </w:pPr>
    <w:rPr>
      <w:i/>
      <w:color w:val="918585"/>
      <w:sz w:val="22"/>
    </w:rPr>
  </w:style>
  <w:style w:type="paragraph" w:customStyle="1" w:styleId="TableBodyText">
    <w:name w:val="Table Body Text"/>
    <w:basedOn w:val="BodyText"/>
    <w:rsid w:val="00B41831"/>
    <w:pPr>
      <w:spacing w:before="60" w:after="60"/>
    </w:pPr>
  </w:style>
  <w:style w:type="paragraph" w:styleId="ListContinue">
    <w:name w:val="List Continue"/>
    <w:basedOn w:val="List"/>
    <w:rsid w:val="00B41831"/>
    <w:pPr>
      <w:ind w:firstLine="0"/>
    </w:pPr>
  </w:style>
  <w:style w:type="paragraph" w:customStyle="1" w:styleId="ListNote">
    <w:name w:val="List Note"/>
    <w:basedOn w:val="List"/>
    <w:rsid w:val="00B41831"/>
    <w:pPr>
      <w:pBdr>
        <w:top w:val="single" w:sz="6" w:space="2" w:color="918585"/>
        <w:bottom w:val="single" w:sz="6" w:space="2" w:color="918585"/>
      </w:pBdr>
      <w:tabs>
        <w:tab w:val="left" w:pos="1021"/>
      </w:tabs>
      <w:ind w:firstLine="0"/>
    </w:pPr>
  </w:style>
  <w:style w:type="paragraph" w:customStyle="1" w:styleId="Warning">
    <w:name w:val="Warning"/>
    <w:basedOn w:val="BodyText"/>
    <w:rsid w:val="00B41831"/>
    <w:pPr>
      <w:shd w:val="clear" w:color="auto" w:fill="D9D9D9"/>
      <w:tabs>
        <w:tab w:val="left" w:pos="992"/>
      </w:tabs>
      <w:ind w:left="119" w:right="119"/>
    </w:pPr>
    <w:rPr>
      <w:sz w:val="20"/>
    </w:rPr>
  </w:style>
  <w:style w:type="paragraph" w:customStyle="1" w:styleId="MarginIcons">
    <w:name w:val="Margin Icons"/>
    <w:basedOn w:val="BodyText"/>
    <w:rsid w:val="00B41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831"/>
    <w:rPr>
      <w:rFonts w:ascii="Courier New" w:hAnsi="Courier New"/>
    </w:rPr>
  </w:style>
  <w:style w:type="paragraph" w:customStyle="1" w:styleId="NoteBullet">
    <w:name w:val="Note Bullet"/>
    <w:basedOn w:val="Note"/>
    <w:rsid w:val="00B41831"/>
    <w:pPr>
      <w:tabs>
        <w:tab w:val="clear" w:pos="680"/>
      </w:tabs>
      <w:spacing w:before="60" w:after="60"/>
    </w:pPr>
  </w:style>
  <w:style w:type="paragraph" w:customStyle="1" w:styleId="SubHeading2">
    <w:name w:val="SubHeading2"/>
    <w:basedOn w:val="HeadingBase"/>
    <w:rsid w:val="00B41831"/>
    <w:pPr>
      <w:spacing w:before="240" w:after="60"/>
    </w:pPr>
    <w:rPr>
      <w:sz w:val="20"/>
    </w:rPr>
  </w:style>
  <w:style w:type="paragraph" w:customStyle="1" w:styleId="SubHeading1">
    <w:name w:val="SubHeading1"/>
    <w:basedOn w:val="HeadingBase"/>
    <w:rsid w:val="00B41831"/>
    <w:pPr>
      <w:spacing w:before="240" w:after="60"/>
    </w:pPr>
    <w:rPr>
      <w:color w:val="918585"/>
      <w:sz w:val="22"/>
    </w:rPr>
  </w:style>
  <w:style w:type="paragraph" w:customStyle="1" w:styleId="SideHeading">
    <w:name w:val="Side Heading"/>
    <w:basedOn w:val="HeadingBase"/>
    <w:rsid w:val="00B41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831"/>
    <w:pPr>
      <w:numPr>
        <w:numId w:val="9"/>
      </w:numPr>
    </w:pPr>
  </w:style>
  <w:style w:type="paragraph" w:styleId="PlainText">
    <w:name w:val="Plain Text"/>
    <w:basedOn w:val="Normal"/>
    <w:link w:val="PlainTextChar"/>
    <w:rsid w:val="00B41831"/>
    <w:rPr>
      <w:sz w:val="20"/>
    </w:rPr>
  </w:style>
  <w:style w:type="character" w:customStyle="1" w:styleId="PlainTextChar">
    <w:name w:val="Plain Text Char"/>
    <w:basedOn w:val="DefaultParagraphFont"/>
    <w:link w:val="PlainText"/>
    <w:rsid w:val="00B41831"/>
    <w:rPr>
      <w:rFonts w:ascii="Courier New" w:eastAsia="Times New Roman" w:hAnsi="Courier New" w:cs="Times New Roman"/>
      <w:sz w:val="20"/>
      <w:szCs w:val="20"/>
      <w:lang w:eastAsia="en-US"/>
    </w:rPr>
  </w:style>
  <w:style w:type="character" w:customStyle="1" w:styleId="MenuOption">
    <w:name w:val="Menu Option"/>
    <w:basedOn w:val="DefaultParagraphFont"/>
    <w:rsid w:val="00B41831"/>
    <w:rPr>
      <w:b/>
      <w:smallCaps/>
    </w:rPr>
  </w:style>
  <w:style w:type="paragraph" w:customStyle="1" w:styleId="TableListNumber">
    <w:name w:val="Table List Number"/>
    <w:basedOn w:val="ListNumber"/>
    <w:rsid w:val="00B41831"/>
    <w:pPr>
      <w:numPr>
        <w:numId w:val="0"/>
      </w:numPr>
    </w:pPr>
  </w:style>
  <w:style w:type="paragraph" w:styleId="TOC4">
    <w:name w:val="toc 4"/>
    <w:basedOn w:val="TOCBase"/>
    <w:next w:val="Normal"/>
    <w:semiHidden/>
    <w:rsid w:val="00B41831"/>
    <w:pPr>
      <w:tabs>
        <w:tab w:val="right" w:leader="dot" w:pos="9071"/>
      </w:tabs>
      <w:ind w:left="1701"/>
    </w:pPr>
  </w:style>
  <w:style w:type="paragraph" w:customStyle="1" w:styleId="ListAlpha">
    <w:name w:val="List Alpha"/>
    <w:basedOn w:val="List"/>
    <w:rsid w:val="00B41831"/>
    <w:pPr>
      <w:numPr>
        <w:numId w:val="7"/>
      </w:numPr>
    </w:pPr>
  </w:style>
  <w:style w:type="paragraph" w:customStyle="1" w:styleId="ListAlpha2">
    <w:name w:val="List Alpha 2"/>
    <w:basedOn w:val="List2"/>
    <w:rsid w:val="00B41831"/>
    <w:pPr>
      <w:numPr>
        <w:numId w:val="6"/>
      </w:numPr>
    </w:pPr>
  </w:style>
  <w:style w:type="paragraph" w:styleId="List2">
    <w:name w:val="List 2"/>
    <w:basedOn w:val="BodyText"/>
    <w:rsid w:val="00B41831"/>
    <w:pPr>
      <w:tabs>
        <w:tab w:val="left" w:pos="680"/>
      </w:tabs>
      <w:spacing w:before="60" w:after="60"/>
      <w:ind w:left="680" w:hanging="340"/>
    </w:pPr>
  </w:style>
  <w:style w:type="paragraph" w:styleId="List3">
    <w:name w:val="List 3"/>
    <w:basedOn w:val="BodyText"/>
    <w:rsid w:val="00B41831"/>
    <w:pPr>
      <w:tabs>
        <w:tab w:val="left" w:pos="1021"/>
      </w:tabs>
      <w:spacing w:before="60" w:after="60"/>
      <w:ind w:left="1020" w:hanging="340"/>
    </w:pPr>
  </w:style>
  <w:style w:type="paragraph" w:styleId="List4">
    <w:name w:val="List 4"/>
    <w:basedOn w:val="BodyText"/>
    <w:rsid w:val="00B41831"/>
    <w:pPr>
      <w:tabs>
        <w:tab w:val="left" w:pos="1361"/>
      </w:tabs>
      <w:spacing w:before="60" w:after="60"/>
      <w:ind w:left="1361" w:hanging="340"/>
    </w:pPr>
  </w:style>
  <w:style w:type="paragraph" w:styleId="List5">
    <w:name w:val="List 5"/>
    <w:basedOn w:val="BodyText"/>
    <w:rsid w:val="00B41831"/>
    <w:pPr>
      <w:tabs>
        <w:tab w:val="left" w:pos="1701"/>
      </w:tabs>
      <w:spacing w:before="60" w:after="60"/>
      <w:ind w:left="1701" w:hanging="340"/>
    </w:pPr>
  </w:style>
  <w:style w:type="paragraph" w:styleId="ListBullet3">
    <w:name w:val="List Bullet 3"/>
    <w:basedOn w:val="List3"/>
    <w:rsid w:val="00B41831"/>
    <w:pPr>
      <w:numPr>
        <w:numId w:val="12"/>
      </w:numPr>
      <w:tabs>
        <w:tab w:val="clear" w:pos="1021"/>
      </w:tabs>
      <w:ind w:left="1037" w:hanging="357"/>
    </w:pPr>
  </w:style>
  <w:style w:type="paragraph" w:styleId="ListBullet4">
    <w:name w:val="List Bullet 4"/>
    <w:basedOn w:val="List4"/>
    <w:rsid w:val="00B41831"/>
    <w:pPr>
      <w:numPr>
        <w:numId w:val="1"/>
      </w:numPr>
      <w:tabs>
        <w:tab w:val="clear" w:pos="1361"/>
      </w:tabs>
    </w:pPr>
  </w:style>
  <w:style w:type="paragraph" w:styleId="ListBullet5">
    <w:name w:val="List Bullet 5"/>
    <w:basedOn w:val="List5"/>
    <w:rsid w:val="00B41831"/>
    <w:pPr>
      <w:numPr>
        <w:numId w:val="2"/>
      </w:numPr>
    </w:pPr>
  </w:style>
  <w:style w:type="paragraph" w:styleId="ListContinue2">
    <w:name w:val="List Continue 2"/>
    <w:basedOn w:val="List2"/>
    <w:rsid w:val="00B41831"/>
    <w:pPr>
      <w:ind w:firstLine="0"/>
    </w:pPr>
  </w:style>
  <w:style w:type="paragraph" w:styleId="ListContinue3">
    <w:name w:val="List Continue 3"/>
    <w:basedOn w:val="List3"/>
    <w:rsid w:val="00B41831"/>
    <w:pPr>
      <w:ind w:left="1021" w:firstLine="0"/>
    </w:pPr>
  </w:style>
  <w:style w:type="paragraph" w:styleId="ListContinue4">
    <w:name w:val="List Continue 4"/>
    <w:basedOn w:val="List4"/>
    <w:rsid w:val="00B41831"/>
    <w:pPr>
      <w:ind w:firstLine="0"/>
    </w:pPr>
  </w:style>
  <w:style w:type="paragraph" w:styleId="ListContinue5">
    <w:name w:val="List Continue 5"/>
    <w:basedOn w:val="List5"/>
    <w:rsid w:val="00B41831"/>
    <w:pPr>
      <w:ind w:firstLine="0"/>
    </w:pPr>
  </w:style>
  <w:style w:type="paragraph" w:styleId="ListNumber3">
    <w:name w:val="List Number 3"/>
    <w:basedOn w:val="List3"/>
    <w:rsid w:val="00B41831"/>
    <w:pPr>
      <w:numPr>
        <w:numId w:val="3"/>
      </w:numPr>
    </w:pPr>
  </w:style>
  <w:style w:type="paragraph" w:styleId="ListNumber4">
    <w:name w:val="List Number 4"/>
    <w:basedOn w:val="List4"/>
    <w:rsid w:val="00B41831"/>
    <w:pPr>
      <w:numPr>
        <w:numId w:val="4"/>
      </w:numPr>
    </w:pPr>
  </w:style>
  <w:style w:type="paragraph" w:styleId="ListNumber5">
    <w:name w:val="List Number 5"/>
    <w:basedOn w:val="List5"/>
    <w:rsid w:val="00B41831"/>
    <w:pPr>
      <w:numPr>
        <w:numId w:val="5"/>
      </w:numPr>
    </w:pPr>
  </w:style>
  <w:style w:type="paragraph" w:styleId="BlockText">
    <w:name w:val="Block Text"/>
    <w:basedOn w:val="Normal"/>
    <w:rsid w:val="00B41831"/>
    <w:pPr>
      <w:spacing w:after="120"/>
      <w:ind w:left="1440" w:right="1440"/>
    </w:pPr>
  </w:style>
  <w:style w:type="character" w:customStyle="1" w:styleId="Subscript">
    <w:name w:val="Subscript"/>
    <w:basedOn w:val="DefaultParagraphFont"/>
    <w:rsid w:val="00B41831"/>
    <w:rPr>
      <w:sz w:val="16"/>
      <w:vertAlign w:val="subscript"/>
    </w:rPr>
  </w:style>
  <w:style w:type="character" w:customStyle="1" w:styleId="Superscript">
    <w:name w:val="Superscript"/>
    <w:basedOn w:val="DefaultParagraphFont"/>
    <w:rsid w:val="00B41831"/>
    <w:rPr>
      <w:sz w:val="16"/>
      <w:vertAlign w:val="superscript"/>
    </w:rPr>
  </w:style>
  <w:style w:type="character" w:customStyle="1" w:styleId="Symbols">
    <w:name w:val="Symbols"/>
    <w:basedOn w:val="DefaultParagraphFont"/>
    <w:rsid w:val="00B41831"/>
    <w:rPr>
      <w:rFonts w:ascii="Symbol" w:hAnsi="Symbol"/>
    </w:rPr>
  </w:style>
  <w:style w:type="character" w:customStyle="1" w:styleId="MenuOptions">
    <w:name w:val="Menu Options"/>
    <w:basedOn w:val="DefaultParagraphFont"/>
    <w:rsid w:val="00B41831"/>
    <w:rPr>
      <w:rFonts w:ascii="Arial Narrow" w:hAnsi="Arial Narrow"/>
      <w:smallCaps/>
    </w:rPr>
  </w:style>
  <w:style w:type="character" w:customStyle="1" w:styleId="Buttons">
    <w:name w:val="Buttons"/>
    <w:basedOn w:val="DefaultParagraphFont"/>
    <w:rsid w:val="00B41831"/>
    <w:rPr>
      <w:b/>
    </w:rPr>
  </w:style>
  <w:style w:type="character" w:customStyle="1" w:styleId="Underlined">
    <w:name w:val="Underlined"/>
    <w:basedOn w:val="DefaultParagraphFont"/>
    <w:rsid w:val="00B41831"/>
    <w:rPr>
      <w:u w:val="single"/>
    </w:rPr>
  </w:style>
  <w:style w:type="paragraph" w:customStyle="1" w:styleId="TableBodyTextRight">
    <w:name w:val="Table Body Text Right"/>
    <w:basedOn w:val="TableBodyText"/>
    <w:rsid w:val="00B41831"/>
    <w:pPr>
      <w:widowControl w:val="0"/>
      <w:autoSpaceDE w:val="0"/>
      <w:autoSpaceDN w:val="0"/>
      <w:adjustRightInd w:val="0"/>
      <w:jc w:val="right"/>
    </w:pPr>
    <w:rPr>
      <w:rFonts w:cs="Arial"/>
      <w:szCs w:val="18"/>
    </w:rPr>
  </w:style>
  <w:style w:type="paragraph" w:customStyle="1" w:styleId="CopyrightText">
    <w:name w:val="Copyright Text"/>
    <w:basedOn w:val="BodyText"/>
    <w:rsid w:val="00B41831"/>
    <w:rPr>
      <w:sz w:val="18"/>
    </w:rPr>
  </w:style>
  <w:style w:type="paragraph" w:customStyle="1" w:styleId="BodySmallRight">
    <w:name w:val="Body Small Right"/>
    <w:basedOn w:val="BodyTextRight"/>
    <w:rsid w:val="00B41831"/>
    <w:rPr>
      <w:sz w:val="18"/>
      <w:szCs w:val="18"/>
    </w:rPr>
  </w:style>
  <w:style w:type="paragraph" w:customStyle="1" w:styleId="MarginEdition">
    <w:name w:val="Margin Edition"/>
    <w:basedOn w:val="MarginNote"/>
    <w:rsid w:val="00B41831"/>
    <w:pPr>
      <w:spacing w:before="0" w:after="0"/>
    </w:pPr>
    <w:rPr>
      <w:rFonts w:ascii="Times New Roman" w:hAnsi="Times New Roman"/>
      <w:color w:val="999999"/>
    </w:rPr>
  </w:style>
  <w:style w:type="paragraph" w:customStyle="1" w:styleId="Spacer">
    <w:name w:val="Spacer"/>
    <w:basedOn w:val="Normal"/>
    <w:rsid w:val="00B41831"/>
    <w:rPr>
      <w:sz w:val="2"/>
      <w:szCs w:val="2"/>
    </w:rPr>
  </w:style>
  <w:style w:type="character" w:customStyle="1" w:styleId="Small">
    <w:name w:val="Small"/>
    <w:basedOn w:val="DefaultParagraphFont"/>
    <w:rsid w:val="00B41831"/>
    <w:rPr>
      <w:sz w:val="16"/>
    </w:rPr>
  </w:style>
  <w:style w:type="paragraph" w:customStyle="1" w:styleId="WideTable">
    <w:name w:val="Wide Table"/>
    <w:basedOn w:val="Normal"/>
    <w:rsid w:val="00B41831"/>
    <w:pPr>
      <w:ind w:left="-1418"/>
    </w:pPr>
    <w:rPr>
      <w:sz w:val="2"/>
      <w:szCs w:val="2"/>
    </w:rPr>
  </w:style>
  <w:style w:type="character" w:styleId="PageNumber">
    <w:name w:val="page number"/>
    <w:basedOn w:val="DefaultParagraphFont"/>
    <w:rsid w:val="00B41831"/>
  </w:style>
  <w:style w:type="paragraph" w:styleId="Quote">
    <w:name w:val="Quote"/>
    <w:basedOn w:val="Heading1"/>
    <w:link w:val="QuoteChar"/>
    <w:qFormat/>
    <w:rsid w:val="00B41831"/>
    <w:rPr>
      <w:b w:val="0"/>
      <w:sz w:val="72"/>
      <w:szCs w:val="72"/>
      <w:lang w:val="en-NZ"/>
    </w:rPr>
  </w:style>
  <w:style w:type="character" w:customStyle="1" w:styleId="QuoteChar">
    <w:name w:val="Quote Char"/>
    <w:basedOn w:val="DefaultParagraphFont"/>
    <w:link w:val="Quote"/>
    <w:rsid w:val="00B41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831"/>
    <w:pPr>
      <w:pageBreakBefore/>
    </w:pPr>
  </w:style>
  <w:style w:type="paragraph" w:customStyle="1" w:styleId="Border">
    <w:name w:val="Border"/>
    <w:basedOn w:val="Normal"/>
    <w:qFormat/>
    <w:rsid w:val="00B41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831"/>
    <w:rPr>
      <w:b/>
      <w:bCs/>
      <w:i/>
      <w:iCs/>
      <w:color w:val="auto"/>
    </w:rPr>
  </w:style>
  <w:style w:type="paragraph" w:styleId="IntenseQuote">
    <w:name w:val="Intense Quote"/>
    <w:basedOn w:val="Normal"/>
    <w:next w:val="Normal"/>
    <w:link w:val="IntenseQuoteChar"/>
    <w:uiPriority w:val="30"/>
    <w:qFormat/>
    <w:rsid w:val="00B41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831"/>
    <w:rPr>
      <w:smallCaps/>
      <w:color w:val="auto"/>
      <w:u w:val="single"/>
    </w:rPr>
  </w:style>
  <w:style w:type="character" w:styleId="IntenseReference">
    <w:name w:val="Intense Reference"/>
    <w:basedOn w:val="DefaultParagraphFont"/>
    <w:uiPriority w:val="32"/>
    <w:qFormat/>
    <w:rsid w:val="00B41831"/>
    <w:rPr>
      <w:b/>
      <w:bCs/>
      <w:smallCaps/>
      <w:color w:val="auto"/>
      <w:spacing w:val="5"/>
      <w:u w:val="single"/>
    </w:rPr>
  </w:style>
  <w:style w:type="paragraph" w:customStyle="1" w:styleId="2ColumnHeading">
    <w:name w:val="2Column Heading"/>
    <w:basedOn w:val="BodyText"/>
    <w:qFormat/>
    <w:rsid w:val="00B41831"/>
    <w:pPr>
      <w:spacing w:after="60"/>
      <w:ind w:left="-2268"/>
    </w:pPr>
    <w:rPr>
      <w:b/>
    </w:rPr>
  </w:style>
  <w:style w:type="paragraph" w:customStyle="1" w:styleId="Heading1TOC">
    <w:name w:val="Heading1 TOC"/>
    <w:basedOn w:val="Normal"/>
    <w:qFormat/>
    <w:rsid w:val="00B41831"/>
    <w:pPr>
      <w:spacing w:before="240" w:after="120"/>
    </w:pPr>
    <w:rPr>
      <w:rFonts w:ascii="Times New Roman" w:hAnsi="Times New Roman"/>
      <w:b/>
      <w:sz w:val="32"/>
    </w:rPr>
  </w:style>
  <w:style w:type="paragraph" w:customStyle="1" w:styleId="Heading2TOC">
    <w:name w:val="Heading2 TOC"/>
    <w:basedOn w:val="Normal"/>
    <w:qFormat/>
    <w:rsid w:val="00B41831"/>
    <w:pPr>
      <w:spacing w:before="240" w:after="60"/>
    </w:pPr>
    <w:rPr>
      <w:rFonts w:ascii="Times New Roman" w:hAnsi="Times New Roman"/>
      <w:b/>
      <w:sz w:val="28"/>
    </w:rPr>
  </w:style>
  <w:style w:type="character" w:customStyle="1" w:styleId="Underline">
    <w:name w:val="Underline"/>
    <w:basedOn w:val="DefaultParagraphFont"/>
    <w:qFormat/>
    <w:rsid w:val="00B41831"/>
    <w:rPr>
      <w:u w:val="single"/>
    </w:rPr>
  </w:style>
  <w:style w:type="character" w:customStyle="1" w:styleId="BoldandItalics">
    <w:name w:val="Bold and Italics"/>
    <w:qFormat/>
    <w:rsid w:val="00B41831"/>
    <w:rPr>
      <w:b/>
      <w:i/>
      <w:u w:val="none"/>
    </w:rPr>
  </w:style>
  <w:style w:type="paragraph" w:styleId="BalloonText">
    <w:name w:val="Balloon Text"/>
    <w:basedOn w:val="Normal"/>
    <w:link w:val="BalloonTextChar"/>
    <w:rsid w:val="00B41831"/>
    <w:rPr>
      <w:rFonts w:ascii="Tahoma" w:hAnsi="Tahoma" w:cs="Tahoma"/>
      <w:sz w:val="16"/>
      <w:szCs w:val="16"/>
    </w:rPr>
  </w:style>
  <w:style w:type="character" w:customStyle="1" w:styleId="BalloonTextChar">
    <w:name w:val="Balloon Text Char"/>
    <w:basedOn w:val="DefaultParagraphFont"/>
    <w:link w:val="BalloonText"/>
    <w:rsid w:val="00B41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8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831"/>
    <w:rPr>
      <w:b/>
      <w:color w:val="660033"/>
      <w:spacing w:val="0"/>
    </w:rPr>
  </w:style>
  <w:style w:type="paragraph" w:customStyle="1" w:styleId="Nameditemlist">
    <w:name w:val="Named item list"/>
    <w:basedOn w:val="BodyText"/>
    <w:qFormat/>
    <w:rsid w:val="00B41831"/>
    <w:pPr>
      <w:tabs>
        <w:tab w:val="left" w:pos="2835"/>
      </w:tabs>
      <w:ind w:left="2835" w:hanging="2835"/>
    </w:pPr>
  </w:style>
  <w:style w:type="paragraph" w:customStyle="1" w:styleId="BodyTextnopadding">
    <w:name w:val="Body Text no padding"/>
    <w:basedOn w:val="BodyText"/>
    <w:qFormat/>
    <w:rsid w:val="00B41831"/>
    <w:pPr>
      <w:spacing w:before="0" w:after="0"/>
    </w:pPr>
  </w:style>
  <w:style w:type="paragraph" w:customStyle="1" w:styleId="BodyTextBold">
    <w:name w:val="Body Text Bold"/>
    <w:basedOn w:val="BodyText"/>
    <w:qFormat/>
    <w:rsid w:val="00B41831"/>
    <w:rPr>
      <w:b/>
    </w:rPr>
  </w:style>
  <w:style w:type="character" w:styleId="Hyperlink">
    <w:name w:val="Hyperlink"/>
    <w:basedOn w:val="DefaultParagraphFont"/>
    <w:uiPriority w:val="99"/>
    <w:unhideWhenUsed/>
    <w:rsid w:val="00857B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4544</Characters>
  <Application>Microsoft Office Word</Application>
  <DocSecurity>0</DocSecurity>
  <Lines>206</Lines>
  <Paragraphs>90</Paragraphs>
  <ScaleCrop>false</ScaleCrop>
  <Company>Author-it Software Corporation Ltd.</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CPPACC5005 Interpret and apply building control legislation when assessing large-scale buildings for access</dc:title>
  <dc:subject>Approved</dc:subject>
  <dc:creator>Artibus Innovation</dc:creator>
  <cp:keywords>Release: 1</cp:keywords>
  <dc:description>Review Date: 12 April 2008</dc:description>
  <cp:lastModifiedBy>HSD_TPCMSd.prod</cp:lastModifiedBy>
  <cp:revision>3</cp:revision>
  <dcterms:created xsi:type="dcterms:W3CDTF">2022-12-19T06:11:00Z</dcterms:created>
  <dcterms:modified xsi:type="dcterms:W3CDTF">2022-12-19T06:11:00Z</dcterms:modified>
</cp:coreProperties>
</file>