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6649" w:rsidP="00066649">
      <w:pPr>
        <w:pStyle w:val="Title"/>
      </w:pPr>
      <w:r>
        <w:fldChar w:fldCharType="begin"/>
      </w:r>
      <w:r>
        <w:instrText xml:space="preserve"> TITLE   \* MERGEFORMAT </w:instrText>
      </w:r>
      <w:r>
        <w:fldChar w:fldCharType="separate"/>
      </w:r>
      <w:r>
        <w:t>CPPACC5005 Interpret and apply building control legislation when assessing large-scale buildings for access</w:t>
      </w:r>
      <w:r>
        <w:fldChar w:fldCharType="end"/>
      </w:r>
    </w:p>
    <w:p w:rsidR="00066649" w:rsidP="00066649">
      <w:pPr>
        <w:pStyle w:val="Version"/>
        <w:sectPr w:rsidSect="003D1E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1E29" w:rsidP="003D1E29">
      <w:pPr>
        <w:pStyle w:val="SuperHeading"/>
      </w:pPr>
      <w:r w:rsidRPr="003D1E29">
        <w:t>CPPACC5005 Interpret and apply building control legislation when assessing large-scale buildings for access</w:t>
      </w:r>
    </w:p>
    <w:p w:rsidR="00000000" w:rsidRPr="003D1E29" w:rsidP="003D1E29">
      <w:pPr>
        <w:pStyle w:val="Heading1"/>
      </w:pPr>
      <w:bookmarkStart w:id="1" w:name="O_1173486"/>
      <w:bookmarkEnd w:id="1"/>
      <w:r w:rsidRPr="003D1E29">
        <w:t>Modification History</w:t>
      </w:r>
    </w:p>
    <w:tbl>
      <w:tblPr>
        <w:tblW w:w="0" w:type="auto"/>
        <w:tblLayout w:type="fixed"/>
        <w:tblCellMar>
          <w:left w:w="62" w:type="dxa"/>
          <w:right w:w="62" w:type="dxa"/>
        </w:tblCellMar>
        <w:tblLook w:val="0000"/>
      </w:tblPr>
      <w:tblGrid>
        <w:gridCol w:w="1128"/>
        <w:gridCol w:w="7944"/>
      </w:tblGrid>
      <w:tr w:rsidTr="003D1E2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Release 1</w:t>
            </w:r>
          </w:p>
        </w:tc>
        <w:tc>
          <w:tcPr>
            <w:tcW w:w="7944" w:type="dxa"/>
            <w:tcBorders>
              <w:top w:val="nil"/>
              <w:left w:val="nil"/>
              <w:bottom w:val="nil"/>
              <w:right w:val="nil"/>
            </w:tcBorders>
            <w:tcMar>
              <w:top w:w="0" w:type="dxa"/>
              <w:left w:w="62" w:type="dxa"/>
              <w:bottom w:w="0" w:type="dxa"/>
              <w:right w:w="62" w:type="dxa"/>
            </w:tcMar>
          </w:tcPr>
          <w:p w:rsidR="00000000" w:rsidRPr="003D1E29" w:rsidP="003D1E29">
            <w:pPr>
              <w:pStyle w:val="BodyText"/>
            </w:pPr>
            <w:r w:rsidRPr="003D1E29">
              <w:t>This unit first released with CPP Property Services Training Package Release 14.0.</w:t>
            </w:r>
          </w:p>
          <w:p w:rsidR="00000000" w:rsidRPr="003D1E29" w:rsidP="003D1E29">
            <w:pPr>
              <w:pStyle w:val="BodyText"/>
            </w:pPr>
            <w:r w:rsidRPr="003D1E29">
              <w:t>Supersedes and is equivalent to CPPACC5005A Interpret and apply building control legislation when assessing large-scale buildings for access.</w:t>
            </w:r>
          </w:p>
          <w:p w:rsidR="00000000" w:rsidRPr="003D1E29" w:rsidP="003D1E29">
            <w:pPr>
              <w:pStyle w:val="BodyText"/>
            </w:pPr>
            <w:r w:rsidRPr="003D1E29">
              <w:t xml:space="preserve">Unit updated to meet the Standards for Training Packages 2012. </w:t>
            </w:r>
          </w:p>
        </w:tc>
      </w:tr>
    </w:tbl>
    <w:p w:rsidR="00000000" w:rsidRPr="003D1E29" w:rsidP="003D1E29">
      <w:pPr>
        <w:pStyle w:val="BodyText"/>
      </w:pPr>
    </w:p>
    <w:p w:rsidR="00000000" w:rsidRPr="003D1E29" w:rsidP="003D1E29">
      <w:pPr>
        <w:pStyle w:val="AllowPageBreak"/>
      </w:pPr>
    </w:p>
    <w:p w:rsidR="00000000" w:rsidRPr="003D1E29" w:rsidP="003D1E29">
      <w:pPr>
        <w:pStyle w:val="Heading1"/>
      </w:pPr>
      <w:bookmarkStart w:id="2" w:name="O_1173492"/>
      <w:bookmarkEnd w:id="2"/>
      <w:r w:rsidRPr="003D1E29">
        <w:t>Application</w:t>
      </w:r>
    </w:p>
    <w:p w:rsidR="00000000" w:rsidRPr="003D1E29" w:rsidP="00066649">
      <w:pPr>
        <w:pStyle w:val="BodyText"/>
      </w:pPr>
      <w:r w:rsidRPr="003D1E29">
        <w:t>This unit of comp</w:t>
      </w:r>
      <w:r w:rsidRPr="003D1E29">
        <w:t>etency specifies the skills and knowledge required to research, interpret and apply building accessibility legislation when assessing the accessibility of large-scale buildings. Large-scale buildings are buildings of any class as defined in the National Co</w:t>
      </w:r>
      <w:r w:rsidRPr="003D1E29">
        <w:t>nstruction Code (NCC) and which exceed 2,000 square metres in floor area. The unit includes interpreting and evaluating the Australian common law system and various sources of law applicable to the accessibility of large-scale building developments and ana</w:t>
      </w:r>
      <w:r w:rsidRPr="003D1E29">
        <w:t>lysing and applying professional codes of practice for the assessment and inspection of buildings.</w:t>
      </w:r>
    </w:p>
    <w:p w:rsidR="00000000" w:rsidRPr="003D1E29" w:rsidP="00066649">
      <w:pPr>
        <w:pStyle w:val="BodyText"/>
      </w:pPr>
      <w:r w:rsidRPr="003D1E29">
        <w:t>This unit is for individuals who are self-directed and have substantial depth of knowledge and skills to make independent judgements in the provision of acce</w:t>
      </w:r>
      <w:r w:rsidRPr="003D1E29">
        <w:t>ss consulting services.</w:t>
      </w:r>
    </w:p>
    <w:p w:rsidR="00000000" w:rsidRPr="003D1E29" w:rsidP="00066649">
      <w:pPr>
        <w:pStyle w:val="BodyText"/>
      </w:pPr>
      <w:r w:rsidRPr="003D1E29">
        <w:t>No licensing, legislative or certification requirements apply to this unit at the time of publication.</w:t>
      </w:r>
    </w:p>
    <w:p w:rsidR="00000000" w:rsidRPr="003D1E29" w:rsidP="003D1E29">
      <w:pPr>
        <w:pStyle w:val="Heading1"/>
      </w:pPr>
      <w:bookmarkStart w:id="3" w:name="O_1173491"/>
      <w:bookmarkEnd w:id="3"/>
      <w:r w:rsidRPr="003D1E29">
        <w:t>Pre-requisite Unit</w:t>
      </w:r>
    </w:p>
    <w:p w:rsidR="00000000" w:rsidRPr="003D1E29" w:rsidP="00066649">
      <w:pPr>
        <w:pStyle w:val="BodyText"/>
      </w:pPr>
      <w:r w:rsidRPr="003D1E29">
        <w:t>Nil.</w:t>
      </w:r>
    </w:p>
    <w:p w:rsidR="00000000" w:rsidRPr="003D1E29" w:rsidP="003D1E29">
      <w:pPr>
        <w:pStyle w:val="Heading1"/>
      </w:pPr>
      <w:bookmarkStart w:id="4" w:name="O_1173490"/>
      <w:bookmarkEnd w:id="4"/>
      <w:r w:rsidRPr="003D1E29">
        <w:t>Unit Sector</w:t>
      </w:r>
    </w:p>
    <w:p w:rsidR="00000000" w:rsidRPr="003D1E29" w:rsidP="00066649">
      <w:pPr>
        <w:pStyle w:val="BodyText"/>
      </w:pPr>
      <w:r w:rsidRPr="003D1E29">
        <w:t>Access Consulting.</w:t>
      </w:r>
    </w:p>
    <w:p w:rsidR="00000000" w:rsidRPr="003D1E29" w:rsidP="003D1E29">
      <w:pPr>
        <w:pStyle w:val="Heading1"/>
      </w:pPr>
      <w:bookmarkStart w:id="5" w:name="O_1173489"/>
      <w:bookmarkEnd w:id="5"/>
      <w:r w:rsidRPr="003D1E29">
        <w:t>Elements and Perf</w:t>
      </w:r>
      <w:r w:rsidRPr="003D1E29">
        <w:t>ormance Criteria</w:t>
      </w:r>
    </w:p>
    <w:tbl>
      <w:tblPr>
        <w:tblW w:w="0" w:type="auto"/>
        <w:tblLayout w:type="fixed"/>
        <w:tblCellMar>
          <w:left w:w="62" w:type="dxa"/>
          <w:right w:w="62" w:type="dxa"/>
        </w:tblCellMar>
        <w:tblLook w:val="0000"/>
      </w:tblPr>
      <w:tblGrid>
        <w:gridCol w:w="313"/>
        <w:gridCol w:w="2357"/>
        <w:gridCol w:w="804"/>
        <w:gridCol w:w="5659"/>
      </w:tblGrid>
      <w:tr w:rsidTr="003D1E2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Performance criteria describe what needs to be done to demonstrate achievement of the element.</w:t>
            </w: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1</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 xml:space="preserve">Research and analyse the Australian </w:t>
            </w:r>
            <w:r w:rsidRPr="003D1E29">
              <w:t>administrative legal system.</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1.1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 xml:space="preserve">Interpret and document the differences between common law, statute law, delegated legislation and local </w:t>
            </w:r>
            <w:r w:rsidRPr="003D1E29">
              <w:t>government law.</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1.2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Research and analyse civil law and examples of civil action relevant to building accessibility of large-scale buildings.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1.3</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Research and analyse administrative law relevant to building accessibility.</w:t>
            </w:r>
          </w:p>
        </w:tc>
      </w:tr>
      <w:tr w:rsidTr="003D1E2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1E29">
            <w:pPr>
              <w:pStyle w:val="BodyText"/>
              <w:rPr>
                <w:lang w:val="en-NZ"/>
              </w:rPr>
            </w:pP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2</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administrative law applicable to building accessibility.</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2.1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and document individual elements of judicial review legislation.</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2.2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and evaluate natural justice issues related to decision making through the building control process.</w:t>
            </w:r>
          </w:p>
        </w:tc>
      </w:tr>
      <w:tr w:rsidTr="003D1E2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1E29">
            <w:pPr>
              <w:pStyle w:val="BodyText"/>
              <w:rPr>
                <w:lang w:val="en-NZ"/>
              </w:rPr>
            </w:pP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and analyse the procedures and benefits of enforcing the law.</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Research, analyse and document the legislative benefits and examples of building accessibility enforcement.</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and record major regulatory enforcement strategies for building accessibility.</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3.3</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analyse and document building certifier powers of entry and legal considerations for obtaining warrants.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3.4</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gather and document types of evidence required to investigate and prove breaches of legislation.</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3.5</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Identify processes f</w:t>
            </w:r>
            <w:r w:rsidRPr="003D1E29">
              <w:t>or addressing regulatory non-compliances and prepare related working documentation in a format suitable for review by a building certifier.</w:t>
            </w:r>
          </w:p>
        </w:tc>
      </w:tr>
      <w:tr w:rsidTr="003D1E2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1E29">
            <w:pPr>
              <w:pStyle w:val="BodyText"/>
              <w:rPr>
                <w:lang w:val="en-NZ"/>
              </w:rPr>
            </w:pP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4</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Analyse the impact of any other legislation on stat</w:t>
            </w:r>
            <w:r w:rsidRPr="003D1E29">
              <w:t>e and territory legislation regarding building and development control and access.</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4.1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Analyse and document the implications of Commonwealth access legislation on state and territory building and development control legislation.</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4.2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Analyse and document</w:t>
            </w:r>
            <w:r w:rsidRPr="003D1E29">
              <w:t xml:space="preserve"> the implications of other state and territory legislation on building and development control legislation and access.</w:t>
            </w:r>
          </w:p>
        </w:tc>
      </w:tr>
      <w:tr w:rsidTr="003D1E2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1E29">
            <w:pPr>
              <w:pStyle w:val="BodyText"/>
              <w:rPr>
                <w:lang w:val="en-NZ"/>
              </w:rPr>
            </w:pP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5</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 xml:space="preserve">Analyse the professional code of </w:t>
            </w:r>
            <w:r w:rsidRPr="003D1E29">
              <w:t>practice applicable to the assessment of accessible large-scale buildings.</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5.1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 xml:space="preserve">Analyse the professional code of practice required by building industry regulators and applicable to assessment </w:t>
            </w:r>
            <w:r w:rsidRPr="003D1E29">
              <w:t>activities.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5.2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concepts associated with working within own area of personal competence and practise in relation to assessment activities.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5.3</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and document duty of care concepts associated with assessment activities to meet common law requirements.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5.4</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conflict of interest concepts and manage in relation to assessment activities.</w:t>
            </w:r>
          </w:p>
        </w:tc>
      </w:tr>
      <w:tr w:rsidTr="003D1E2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D1E29">
            <w:pPr>
              <w:pStyle w:val="BodyText"/>
              <w:rPr>
                <w:lang w:val="en-NZ"/>
              </w:rPr>
            </w:pPr>
          </w:p>
        </w:tc>
      </w:tr>
      <w:tr w:rsidTr="003D1E2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6</w:t>
            </w:r>
          </w:p>
        </w:tc>
        <w:tc>
          <w:tcPr>
            <w:tcW w:w="2357" w:type="dxa"/>
            <w:vMerge w:val="restart"/>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Analyse the responsibilities and liabilities of access consultants and building certifiers and develop effective working relationships.</w:t>
            </w: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6.1</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and document responsibilities and liabilities of access consultants.</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6.2</w:t>
            </w:r>
          </w:p>
        </w:tc>
        <w:tc>
          <w:tcPr>
            <w:tcW w:w="5659"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Evaluate and document the statutory duties, responsibilities and liabilities of building certifiers as specified by relevant legislation.</w:t>
            </w:r>
          </w:p>
        </w:tc>
      </w:tr>
      <w:tr w:rsidTr="003D1E2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6.3</w:t>
            </w:r>
          </w:p>
        </w:tc>
        <w:tc>
          <w:tcPr>
            <w:tcW w:w="5659" w:type="dxa"/>
            <w:tcBorders>
              <w:top w:val="nil"/>
              <w:left w:val="nil"/>
              <w:bottom w:val="nil"/>
              <w:right w:val="nil"/>
            </w:tcBorders>
            <w:tcMar>
              <w:top w:w="0" w:type="dxa"/>
              <w:left w:w="62" w:type="dxa"/>
              <w:bottom w:w="0" w:type="dxa"/>
              <w:right w:w="62" w:type="dxa"/>
            </w:tcMar>
          </w:tcPr>
          <w:p w:rsidR="00000000" w:rsidRPr="003D1E29" w:rsidP="003D1E29">
            <w:pPr>
              <w:pStyle w:val="BodyText"/>
            </w:pPr>
            <w:r w:rsidRPr="003D1E29">
              <w:t>Develop and implement strategies to establish and maintain effective working relationships between access consultants and building certifiers.</w:t>
            </w:r>
          </w:p>
        </w:tc>
      </w:tr>
    </w:tbl>
    <w:p w:rsidR="00000000" w:rsidRPr="003D1E29" w:rsidP="003D1E29">
      <w:pPr>
        <w:pStyle w:val="BodyText"/>
      </w:pPr>
    </w:p>
    <w:p w:rsidR="00000000" w:rsidRPr="003D1E29" w:rsidP="003D1E29">
      <w:pPr>
        <w:pStyle w:val="AllowPageBreak"/>
      </w:pPr>
    </w:p>
    <w:p w:rsidR="00000000" w:rsidRPr="003D1E29" w:rsidP="003D1E29">
      <w:pPr>
        <w:pStyle w:val="Heading1"/>
      </w:pPr>
      <w:bookmarkStart w:id="6" w:name="O_1173488"/>
      <w:bookmarkEnd w:id="6"/>
      <w:r w:rsidRPr="003D1E29">
        <w:t>Foundation Skills</w:t>
      </w:r>
    </w:p>
    <w:p w:rsidR="00000000" w:rsidRPr="003D1E29" w:rsidP="00066649">
      <w:pPr>
        <w:pStyle w:val="BodyText"/>
      </w:pPr>
      <w:r w:rsidRPr="003D1E29">
        <w:t>Foundation skills essential to performance are explicit in the performance criteria of this unit of competency.</w:t>
      </w:r>
    </w:p>
    <w:p w:rsidR="00000000" w:rsidRPr="003D1E29" w:rsidP="003D1E29">
      <w:pPr>
        <w:pStyle w:val="Heading1"/>
      </w:pPr>
      <w:bookmarkStart w:id="7" w:name="O_1173487"/>
      <w:bookmarkEnd w:id="7"/>
      <w:r w:rsidRPr="003D1E29">
        <w:t>Unit Mapping Information</w:t>
      </w:r>
    </w:p>
    <w:p w:rsidR="00000000" w:rsidRPr="003D1E29" w:rsidP="00066649">
      <w:pPr>
        <w:pStyle w:val="BodyText"/>
      </w:pPr>
      <w:r w:rsidRPr="003D1E29">
        <w:t>Supersedes and is equivalent to CPPACC5005A Interpret and apply building control legislation when as</w:t>
      </w:r>
      <w:r w:rsidRPr="003D1E29">
        <w:t>sessing large-scale buildings for access.</w:t>
      </w:r>
    </w:p>
    <w:p w:rsidR="00000000" w:rsidRPr="003D1E29" w:rsidP="003D1E29">
      <w:pPr>
        <w:pStyle w:val="Heading1"/>
      </w:pPr>
      <w:bookmarkStart w:id="8" w:name="O_1173480"/>
      <w:bookmarkEnd w:id="8"/>
      <w:r w:rsidRPr="003D1E29">
        <w:t>Links</w:t>
      </w:r>
    </w:p>
    <w:p w:rsidR="00000000" w:rsidRPr="003D1E29" w:rsidP="00066649">
      <w:pPr>
        <w:pStyle w:val="BodyText"/>
      </w:pPr>
      <w:r w:rsidRPr="003D1E2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44F">
        <w:rPr>
          <w:rStyle w:val="Hyperlink"/>
        </w:rPr>
        <w:t>https://vetnet.gov.au/Pages/TrainingDocs.aspx?q=6f3f9672-30e8-4835-b348-205dfcf13d9b</w:t>
      </w:r>
      <w:r>
        <w:fldChar w:fldCharType="end"/>
      </w:r>
    </w:p>
    <w:p w:rsidR="00000000" w:rsidRPr="003D1E29" w:rsidP="00066649">
      <w:pPr>
        <w:pStyle w:val="BodyText"/>
        <w:sectPr w:rsidSect="003D1E29">
          <w:headerReference w:type="default" r:id="rId10"/>
          <w:footerReference w:type="default" r:id="rId11"/>
          <w:pgSz w:w="11908" w:h="16833"/>
          <w:pgMar w:top="1702" w:right="1418" w:bottom="1702" w:left="1418" w:header="992" w:footer="992" w:gutter="0"/>
          <w:cols w:space="720"/>
          <w:noEndnote/>
          <w:docGrid w:linePitch="299"/>
        </w:sectPr>
      </w:pPr>
    </w:p>
    <w:p w:rsidR="00000000" w:rsidRPr="003D1E29" w:rsidP="003D1E29">
      <w:pPr>
        <w:pStyle w:val="SuperHeading"/>
      </w:pPr>
      <w:r w:rsidRPr="003D1E29">
        <w:t>Assessment Requirements for CPPACC5005 Interpret and apply building control legislation when assessing large-scale buildings for access</w:t>
      </w:r>
    </w:p>
    <w:p w:rsidR="00000000" w:rsidRPr="003D1E29" w:rsidP="003D1E29">
      <w:pPr>
        <w:pStyle w:val="Heading1"/>
      </w:pPr>
      <w:bookmarkStart w:id="9" w:name="O_1173482"/>
      <w:bookmarkEnd w:id="9"/>
      <w:r w:rsidRPr="003D1E29">
        <w:t>Modification History</w:t>
      </w:r>
    </w:p>
    <w:tbl>
      <w:tblPr>
        <w:tblW w:w="0" w:type="auto"/>
        <w:tblLayout w:type="fixed"/>
        <w:tblCellMar>
          <w:left w:w="62" w:type="dxa"/>
          <w:right w:w="62" w:type="dxa"/>
        </w:tblCellMar>
        <w:tblLook w:val="0000"/>
      </w:tblPr>
      <w:tblGrid>
        <w:gridCol w:w="1128"/>
        <w:gridCol w:w="7944"/>
      </w:tblGrid>
      <w:tr w:rsidTr="003D1E2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D1E29">
            <w:pPr>
              <w:pStyle w:val="BodyText"/>
              <w:rPr>
                <w:lang w:val="en-NZ"/>
              </w:rPr>
            </w:pPr>
            <w:r w:rsidRPr="003D1E29">
              <w:t>Release 1</w:t>
            </w:r>
          </w:p>
        </w:tc>
        <w:tc>
          <w:tcPr>
            <w:tcW w:w="7944" w:type="dxa"/>
            <w:tcBorders>
              <w:top w:val="nil"/>
              <w:left w:val="nil"/>
              <w:bottom w:val="nil"/>
              <w:right w:val="nil"/>
            </w:tcBorders>
            <w:tcMar>
              <w:top w:w="0" w:type="dxa"/>
              <w:left w:w="62" w:type="dxa"/>
              <w:bottom w:w="0" w:type="dxa"/>
              <w:right w:w="62" w:type="dxa"/>
            </w:tcMar>
          </w:tcPr>
          <w:p w:rsidR="00000000" w:rsidRPr="003D1E29" w:rsidP="003D1E29">
            <w:pPr>
              <w:pStyle w:val="BodyText"/>
            </w:pPr>
            <w:r w:rsidRPr="003D1E29">
              <w:t xml:space="preserve">This unit first released </w:t>
            </w:r>
            <w:r w:rsidRPr="003D1E29">
              <w:t>with CPP Property Services Training Package Release 14.0.</w:t>
            </w:r>
          </w:p>
          <w:p w:rsidR="00000000" w:rsidRPr="003D1E29" w:rsidP="003D1E29">
            <w:pPr>
              <w:pStyle w:val="BodyText"/>
            </w:pPr>
            <w:r w:rsidRPr="003D1E29">
              <w:t>Supersedes and is equivalent to CPPACC5005A Interpret and apply building control legislation when assessing large-scale buildings for access.</w:t>
            </w:r>
          </w:p>
          <w:p w:rsidR="00000000" w:rsidRPr="003D1E29" w:rsidP="003D1E29">
            <w:pPr>
              <w:pStyle w:val="BodyText"/>
            </w:pPr>
            <w:r w:rsidRPr="003D1E29">
              <w:t>Unit updated to meet the Standards for Training Packages</w:t>
            </w:r>
            <w:r w:rsidRPr="003D1E29">
              <w:t xml:space="preserve"> 2012. </w:t>
            </w:r>
          </w:p>
        </w:tc>
      </w:tr>
    </w:tbl>
    <w:p w:rsidR="00000000" w:rsidRPr="003D1E29" w:rsidP="003D1E29">
      <w:pPr>
        <w:pStyle w:val="BodyText"/>
      </w:pPr>
    </w:p>
    <w:p w:rsidR="00000000" w:rsidRPr="003D1E29" w:rsidP="003D1E29">
      <w:pPr>
        <w:pStyle w:val="AllowPageBreak"/>
      </w:pPr>
    </w:p>
    <w:p w:rsidR="00000000" w:rsidRPr="003D1E29" w:rsidP="003D1E29">
      <w:pPr>
        <w:pStyle w:val="Heading1"/>
      </w:pPr>
      <w:bookmarkStart w:id="10" w:name="O_1173485"/>
      <w:bookmarkEnd w:id="10"/>
      <w:r w:rsidRPr="003D1E29">
        <w:t>Performance Evidence</w:t>
      </w:r>
    </w:p>
    <w:p w:rsidR="00000000" w:rsidRPr="003D1E29" w:rsidP="00066649">
      <w:pPr>
        <w:pStyle w:val="BodyText"/>
      </w:pPr>
      <w:r w:rsidRPr="003D1E29">
        <w:t>To demonstrate competency, a candidate must meet the elements and performance criteria of this unit by interpreting and applying building control legislation to assess two large-scale buildings for access.</w:t>
      </w:r>
    </w:p>
    <w:p w:rsidR="00000000" w:rsidRPr="003D1E29" w:rsidP="003D1E29">
      <w:pPr>
        <w:pStyle w:val="Heading1"/>
      </w:pPr>
      <w:bookmarkStart w:id="11" w:name="O_1173484"/>
      <w:bookmarkEnd w:id="11"/>
      <w:r w:rsidRPr="003D1E29">
        <w:t>Knowledge Evidence</w:t>
      </w:r>
    </w:p>
    <w:p w:rsidR="00000000" w:rsidRPr="003D1E29" w:rsidP="00066649">
      <w:pPr>
        <w:pStyle w:val="BodyText"/>
      </w:pPr>
      <w:r w:rsidRPr="003D1E29">
        <w:t>To be competent in this unit, a candidate must demonstrate knowledge of:</w:t>
      </w:r>
    </w:p>
    <w:p w:rsidR="00000000" w:rsidRPr="003D1E29" w:rsidP="003D1E29">
      <w:pPr>
        <w:pStyle w:val="ListBullet"/>
      </w:pPr>
      <w:r w:rsidRPr="003D1E29">
        <w:t>Australian administrative law system applicable to the accessibility of large-scale buildings</w:t>
      </w:r>
    </w:p>
    <w:p w:rsidR="00000000" w:rsidRPr="003D1E29" w:rsidP="003D1E29">
      <w:pPr>
        <w:pStyle w:val="ListBullet"/>
      </w:pPr>
      <w:r w:rsidRPr="003D1E29">
        <w:t>codes of practice and ethics relevant to access co</w:t>
      </w:r>
      <w:r w:rsidRPr="003D1E29">
        <w:t>nsulting and definitions of:</w:t>
      </w:r>
    </w:p>
    <w:p w:rsidR="00000000" w:rsidRPr="003D1E29" w:rsidP="003D1E29">
      <w:pPr>
        <w:pStyle w:val="ListBullet2"/>
      </w:pPr>
      <w:r w:rsidRPr="003D1E29">
        <w:t>duty of care as it relates to common law</w:t>
      </w:r>
    </w:p>
    <w:p w:rsidR="00000000" w:rsidRPr="003D1E29" w:rsidP="003D1E29">
      <w:pPr>
        <w:pStyle w:val="ListBullet2"/>
      </w:pPr>
      <w:r w:rsidRPr="003D1E29">
        <w:t>conflict of interest</w:t>
      </w:r>
    </w:p>
    <w:p w:rsidR="00000000" w:rsidRPr="003D1E29" w:rsidP="003D1E29">
      <w:pPr>
        <w:pStyle w:val="ListBullet"/>
      </w:pPr>
      <w:r w:rsidRPr="003D1E29">
        <w:t>Commonwealth, state and territory legislation, regulations, codes and standards relevant to access consulting activities:</w:t>
      </w:r>
    </w:p>
    <w:p w:rsidR="00000000" w:rsidRPr="003D1E29" w:rsidP="003D1E29">
      <w:pPr>
        <w:pStyle w:val="ListBullet2"/>
      </w:pPr>
      <w:r w:rsidRPr="003D1E29">
        <w:t>anti-discrimination and disability discr</w:t>
      </w:r>
      <w:r w:rsidRPr="003D1E29">
        <w:t>imination</w:t>
      </w:r>
    </w:p>
    <w:p w:rsidR="00000000" w:rsidRPr="003D1E29" w:rsidP="003D1E29">
      <w:pPr>
        <w:pStyle w:val="ListBullet2"/>
      </w:pPr>
      <w:r w:rsidRPr="003D1E29">
        <w:t>building control including local government regulations and by-laws</w:t>
      </w:r>
    </w:p>
    <w:p w:rsidR="00000000" w:rsidRPr="003D1E29" w:rsidP="003D1E29">
      <w:pPr>
        <w:pStyle w:val="ListBullet2"/>
      </w:pPr>
      <w:r w:rsidRPr="003D1E29">
        <w:t>Disability (Access to Premises – Buildings) Standards 2010 under the Disability Discrimination Act 1992 (or their successors) – known as the Access to Premises Standards</w:t>
      </w:r>
    </w:p>
    <w:p w:rsidR="00000000" w:rsidRPr="003D1E29" w:rsidP="003D1E29">
      <w:pPr>
        <w:pStyle w:val="ListBullet2"/>
      </w:pPr>
      <w:r w:rsidRPr="003D1E29">
        <w:t>National Construction Code (NCC) building classifications and access requirements</w:t>
      </w:r>
    </w:p>
    <w:p w:rsidR="00000000" w:rsidRPr="003D1E29" w:rsidP="003D1E29">
      <w:pPr>
        <w:pStyle w:val="ListBullet2"/>
      </w:pPr>
      <w:r w:rsidRPr="003D1E29">
        <w:t>National Disability Insurance Scheme (NDIS) Specialist Disability Accommodation Design Standard (or its successor)</w:t>
      </w:r>
    </w:p>
    <w:p w:rsidR="00000000" w:rsidRPr="003D1E29" w:rsidP="003D1E29">
      <w:pPr>
        <w:pStyle w:val="ListBullet2"/>
      </w:pPr>
      <w:r w:rsidRPr="003D1E29">
        <w:t>Livable Housing Australia Livable Housing Design Guidelines</w:t>
      </w:r>
      <w:r w:rsidRPr="003D1E29">
        <w:t xml:space="preserve"> (or its successor)</w:t>
      </w:r>
    </w:p>
    <w:p w:rsidR="00000000" w:rsidRPr="003D1E29" w:rsidP="003D1E29">
      <w:pPr>
        <w:pStyle w:val="ListBullet2"/>
      </w:pPr>
      <w:r w:rsidRPr="003D1E29">
        <w:t>principles of universal design</w:t>
      </w:r>
    </w:p>
    <w:p w:rsidR="00000000" w:rsidRPr="003D1E29" w:rsidP="003D1E29">
      <w:pPr>
        <w:pStyle w:val="ListBullet2"/>
      </w:pPr>
      <w:r w:rsidRPr="003D1E29">
        <w:t xml:space="preserve">privacy and confidentiality </w:t>
      </w:r>
    </w:p>
    <w:p w:rsidR="00000000" w:rsidRPr="003D1E29" w:rsidP="003D1E29">
      <w:pPr>
        <w:pStyle w:val="ListBullet"/>
      </w:pPr>
      <w:r w:rsidRPr="003D1E29">
        <w:t>measurements and calculations used to determine provisions for access</w:t>
      </w:r>
    </w:p>
    <w:p w:rsidR="00000000" w:rsidRPr="003D1E29" w:rsidP="003D1E29">
      <w:pPr>
        <w:pStyle w:val="ListBullet"/>
      </w:pPr>
      <w:r w:rsidRPr="003D1E29">
        <w:t>processes for interpreting construction drawings and associated documentation when assessing the access c</w:t>
      </w:r>
      <w:r w:rsidRPr="003D1E29">
        <w:t>ompliance of large-scale buildings</w:t>
      </w:r>
    </w:p>
    <w:p w:rsidR="00000000" w:rsidRPr="003D1E29" w:rsidP="003D1E29">
      <w:pPr>
        <w:pStyle w:val="ListBullet"/>
      </w:pPr>
      <w:r w:rsidRPr="003D1E29">
        <w:t>research methodologies and analytical processes used when interpreting and applying building control legislation</w:t>
      </w:r>
    </w:p>
    <w:p w:rsidR="00000000" w:rsidRPr="003D1E29" w:rsidP="003D1E29">
      <w:pPr>
        <w:pStyle w:val="ListBullet"/>
      </w:pPr>
      <w:r w:rsidRPr="003D1E29">
        <w:t>roles, responsibilities and powers of building certifiers</w:t>
      </w:r>
    </w:p>
    <w:p w:rsidR="00000000" w:rsidRPr="003D1E29" w:rsidP="003D1E29">
      <w:pPr>
        <w:pStyle w:val="ListBullet"/>
      </w:pPr>
      <w:r w:rsidRPr="003D1E29">
        <w:t>types of disability and limitations that each disa</w:t>
      </w:r>
      <w:r w:rsidRPr="003D1E29">
        <w:t>bility places on an individual’s ability to access the environment</w:t>
      </w:r>
    </w:p>
    <w:p w:rsidR="00000000" w:rsidRPr="003D1E29" w:rsidP="003D1E29">
      <w:pPr>
        <w:pStyle w:val="ListBullet"/>
      </w:pPr>
      <w:r w:rsidRPr="003D1E29">
        <w:t>workplace requirements for interpreting and applying building control legislation when assessing large-scale buildings for access:</w:t>
      </w:r>
    </w:p>
    <w:p w:rsidR="00000000" w:rsidRPr="003D1E29" w:rsidP="003D1E29">
      <w:pPr>
        <w:pStyle w:val="ListBullet2"/>
      </w:pPr>
      <w:r w:rsidRPr="003D1E29">
        <w:t>documentation and records administration</w:t>
      </w:r>
    </w:p>
    <w:p w:rsidR="00000000" w:rsidRPr="003D1E29" w:rsidP="003D1E29">
      <w:pPr>
        <w:pStyle w:val="ListBullet2"/>
      </w:pPr>
      <w:r w:rsidRPr="003D1E29">
        <w:t>quality</w:t>
      </w:r>
    </w:p>
    <w:p w:rsidR="00000000" w:rsidRPr="003D1E29" w:rsidP="003D1E29">
      <w:pPr>
        <w:pStyle w:val="ListBullet2"/>
      </w:pPr>
      <w:r w:rsidRPr="003D1E29">
        <w:t>work role boundaries – responsibilities, limitations and professional abilities.</w:t>
      </w:r>
    </w:p>
    <w:p w:rsidR="00000000" w:rsidRPr="003D1E29" w:rsidP="003D1E29">
      <w:pPr>
        <w:pStyle w:val="AllowPageBreak"/>
      </w:pPr>
    </w:p>
    <w:p w:rsidR="00000000" w:rsidRPr="003D1E29" w:rsidP="003D1E29">
      <w:pPr>
        <w:pStyle w:val="Heading1"/>
      </w:pPr>
      <w:bookmarkStart w:id="12" w:name="O_1173483"/>
      <w:bookmarkEnd w:id="12"/>
      <w:r w:rsidRPr="003D1E29">
        <w:t>Assessment Conditions</w:t>
      </w:r>
    </w:p>
    <w:p w:rsidR="00000000" w:rsidRPr="003D1E29" w:rsidP="00066649">
      <w:pPr>
        <w:pStyle w:val="BodyText"/>
      </w:pPr>
      <w:r w:rsidRPr="003D1E29">
        <w:t xml:space="preserve">Assessors must meet the requirements for assessors contained in the Standards for Registered Training Organisations. </w:t>
      </w:r>
    </w:p>
    <w:p w:rsidR="00000000" w:rsidRPr="003D1E29" w:rsidP="00066649">
      <w:pPr>
        <w:pStyle w:val="BodyText"/>
      </w:pPr>
      <w:r w:rsidRPr="003D1E29">
        <w:t xml:space="preserve">Assessment must </w:t>
      </w:r>
      <w:r w:rsidRPr="003D1E29">
        <w:t>be conducted in the workplace or a simulated workplace using realistic conditions, materials, activities, responsibilities, procedures, safety requirements and environmental considerations.</w:t>
      </w:r>
    </w:p>
    <w:p w:rsidR="00000000" w:rsidRPr="003D1E29" w:rsidP="00066649">
      <w:pPr>
        <w:pStyle w:val="BodyText"/>
      </w:pPr>
      <w:r w:rsidRPr="003D1E29">
        <w:t>Candidates must have access to documentation, information and tech</w:t>
      </w:r>
      <w:r w:rsidRPr="003D1E29">
        <w:t>nologies required to achieve the performance criteria and performance evidence.</w:t>
      </w:r>
    </w:p>
    <w:p w:rsidR="00000000" w:rsidRPr="003D1E29" w:rsidP="003D1E29">
      <w:pPr>
        <w:pStyle w:val="Heading1"/>
      </w:pPr>
      <w:bookmarkStart w:id="13" w:name="O_1173481"/>
      <w:bookmarkEnd w:id="13"/>
      <w:r w:rsidRPr="003D1E29">
        <w:t>Links</w:t>
      </w:r>
    </w:p>
    <w:p w:rsidR="00000000" w:rsidRPr="003D1E29" w:rsidP="00066649">
      <w:pPr>
        <w:pStyle w:val="BodyText"/>
      </w:pPr>
      <w:r w:rsidRPr="003D1E2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2744F">
        <w:rPr>
          <w:rStyle w:val="Hyperlink"/>
        </w:rPr>
        <w:t>https://vetnet.gov.au/Pages/TrainingDocs.aspx?q=6f3f9672-30e8-4835-b348-205dfcf13d9b</w:t>
      </w:r>
      <w:r>
        <w:fldChar w:fldCharType="end"/>
      </w:r>
    </w:p>
    <w:p w:rsidR="00000000" w:rsidRPr="003D1E29" w:rsidP="003D1E29"/>
    <w:sectPr w:rsidSect="003D1E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rsidRPr="00066649" w:rsidP="000666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49" w:rsidP="003D1E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6649" w:rsidP="003D1E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66649" w:rsidP="003D1E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rsidP="003D1E29">
    <w:pPr>
      <w:pStyle w:val="Footer"/>
      <w:framePr w:wrap="around"/>
    </w:pPr>
    <w:r>
      <w:fldChar w:fldCharType="begin"/>
    </w:r>
    <w:r>
      <w:instrText xml:space="preserve"> DOCPROPERTY  Subject  \* MERGEFORMAT </w:instrText>
    </w:r>
    <w:r>
      <w:fldChar w:fldCharType="separate"/>
    </w:r>
    <w:r w:rsidR="00066649">
      <w:t>Approved</w:t>
    </w:r>
    <w:r w:rsidR="00066649">
      <w:fldChar w:fldCharType="end"/>
    </w:r>
    <w:r>
      <w:tab/>
      <w:t xml:space="preserve">Page </w:t>
    </w:r>
    <w:r>
      <w:fldChar w:fldCharType="begin"/>
    </w:r>
    <w:r>
      <w:instrText xml:space="preserve"> PAGE  \* Arabic  \* MERGEFORMAT </w:instrText>
    </w:r>
    <w:r>
      <w:fldChar w:fldCharType="separate"/>
    </w:r>
    <w:r w:rsidR="000666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6649">
      <w:rPr>
        <w:noProof/>
      </w:rPr>
      <w:t>4</w:t>
    </w:r>
    <w:r>
      <w:rPr>
        <w:noProof/>
      </w:rPr>
      <w:fldChar w:fldCharType="end"/>
    </w:r>
  </w:p>
  <w:p w:rsidR="003D1E29" w:rsidP="003D1E29">
    <w:pPr>
      <w:pStyle w:val="Footer"/>
      <w:framePr w:wrap="around"/>
    </w:pPr>
    <w:r>
      <w:t xml:space="preserve">© Commonwealth of Australia, </w:t>
    </w:r>
    <w:r>
      <w:fldChar w:fldCharType="begin"/>
    </w:r>
    <w:r>
      <w:instrText xml:space="preserve"> DATE  \@ "yyyy"  \* MERGEFORMAT </w:instrText>
    </w:r>
    <w:r>
      <w:fldChar w:fldCharType="separate"/>
    </w:r>
    <w:r w:rsidR="00066649">
      <w:rPr>
        <w:noProof/>
      </w:rPr>
      <w:t>2025</w:t>
    </w:r>
    <w:r>
      <w:fldChar w:fldCharType="end"/>
    </w:r>
    <w:r>
      <w:tab/>
    </w:r>
    <w:r>
      <w:fldChar w:fldCharType="begin"/>
    </w:r>
    <w:r>
      <w:instrText xml:space="preserve"> DOCPROPERTY  Author  \* MERGEFORMAT </w:instrText>
    </w:r>
    <w:r>
      <w:fldChar w:fldCharType="separate"/>
    </w:r>
    <w:r w:rsidR="00066649">
      <w:t>BuildSkills Australia</w:t>
    </w:r>
    <w:r w:rsidR="00066649">
      <w:fldChar w:fldCharType="end"/>
    </w:r>
  </w:p>
  <w:p w:rsidR="003D1E29" w:rsidP="003D1E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1E29" w:rsidRPr="00066649" w:rsidP="000666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649" w:rsidRPr="002D2AF8" w:rsidP="003D1E29">
    <w:pPr>
      <w:pStyle w:val="Header"/>
      <w:framePr w:wrap="around"/>
    </w:pPr>
    <w:r>
      <w:fldChar w:fldCharType="begin"/>
    </w:r>
    <w:r>
      <w:instrText xml:space="preserve"> TITLE   \* MERGEFORMAT </w:instrText>
    </w:r>
    <w:r>
      <w:fldChar w:fldCharType="separate"/>
    </w:r>
    <w:r>
      <w:t>CPPACC5005 Interpret and apply building control legislation when assessing large-scale buildings for access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66649" w:rsidP="003D1E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E29" w:rsidRPr="002D2AF8" w:rsidP="003D1E29">
    <w:pPr>
      <w:pStyle w:val="Header"/>
      <w:framePr w:wrap="around"/>
    </w:pPr>
    <w:r>
      <w:fldChar w:fldCharType="begin"/>
    </w:r>
    <w:r>
      <w:instrText xml:space="preserve"> TITLE   \* MERGEFORMAT </w:instrText>
    </w:r>
    <w:r>
      <w:fldChar w:fldCharType="separate"/>
    </w:r>
    <w:r w:rsidR="00066649">
      <w:t>CPPACC5005 Interpret and apply building control legislation when assessing large-scale buildings for access</w:t>
    </w:r>
    <w:r w:rsidR="00066649">
      <w:fldChar w:fldCharType="end"/>
    </w:r>
    <w:r>
      <w:tab/>
      <w:t xml:space="preserve">Date this document was generated: </w:t>
    </w:r>
    <w:r>
      <w:fldChar w:fldCharType="begin"/>
    </w:r>
    <w:r>
      <w:instrText xml:space="preserve"> CREATEDATE  \@ "d MMMM yyyy"  \* MERGEFORMAT </w:instrText>
    </w:r>
    <w:r>
      <w:fldChar w:fldCharType="separate"/>
    </w:r>
    <w:r w:rsidR="00066649">
      <w:rPr>
        <w:noProof/>
      </w:rPr>
      <w:t>1 March 2025</w:t>
    </w:r>
    <w:r>
      <w:fldChar w:fldCharType="end"/>
    </w:r>
  </w:p>
  <w:p w:rsidR="003D1E29" w:rsidP="003D1E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84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1442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F2C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E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1E29"/>
    <w:pPr>
      <w:spacing w:before="360" w:after="60"/>
      <w:outlineLvl w:val="0"/>
    </w:pPr>
    <w:rPr>
      <w:sz w:val="32"/>
    </w:rPr>
  </w:style>
  <w:style w:type="paragraph" w:styleId="Heading2">
    <w:name w:val="heading 2"/>
    <w:basedOn w:val="HeadingBase"/>
    <w:next w:val="BodyText"/>
    <w:link w:val="Heading2Char"/>
    <w:qFormat/>
    <w:rsid w:val="003D1E29"/>
    <w:pPr>
      <w:keepLines/>
      <w:spacing w:before="240" w:after="120"/>
      <w:outlineLvl w:val="1"/>
    </w:pPr>
    <w:rPr>
      <w:sz w:val="28"/>
      <w:szCs w:val="40"/>
    </w:rPr>
  </w:style>
  <w:style w:type="paragraph" w:styleId="Heading3">
    <w:name w:val="heading 3"/>
    <w:basedOn w:val="HeadingBase"/>
    <w:next w:val="BodyText"/>
    <w:link w:val="Heading3Char"/>
    <w:qFormat/>
    <w:rsid w:val="003D1E29"/>
    <w:pPr>
      <w:spacing w:before="180" w:after="120"/>
      <w:outlineLvl w:val="2"/>
    </w:pPr>
    <w:rPr>
      <w:spacing w:val="-10"/>
      <w:kern w:val="32"/>
    </w:rPr>
  </w:style>
  <w:style w:type="paragraph" w:styleId="Heading4">
    <w:name w:val="heading 4"/>
    <w:basedOn w:val="HeadingBase"/>
    <w:next w:val="BodyText"/>
    <w:link w:val="Heading4Char"/>
    <w:qFormat/>
    <w:rsid w:val="003D1E29"/>
    <w:pPr>
      <w:spacing w:before="160" w:after="120"/>
      <w:outlineLvl w:val="3"/>
    </w:pPr>
    <w:rPr>
      <w:sz w:val="22"/>
    </w:rPr>
  </w:style>
  <w:style w:type="paragraph" w:styleId="Heading5">
    <w:name w:val="heading 5"/>
    <w:basedOn w:val="HeadingBase"/>
    <w:next w:val="Normal"/>
    <w:link w:val="Heading5Char"/>
    <w:qFormat/>
    <w:rsid w:val="003D1E29"/>
    <w:pPr>
      <w:spacing w:before="80"/>
      <w:outlineLvl w:val="4"/>
    </w:pPr>
    <w:rPr>
      <w:color w:val="918585"/>
      <w:sz w:val="20"/>
    </w:rPr>
  </w:style>
  <w:style w:type="paragraph" w:styleId="Heading6">
    <w:name w:val="heading 6"/>
    <w:basedOn w:val="HeadingBase"/>
    <w:next w:val="Normal"/>
    <w:link w:val="Heading6Char"/>
    <w:qFormat/>
    <w:rsid w:val="003D1E29"/>
    <w:pPr>
      <w:spacing w:before="60"/>
      <w:outlineLvl w:val="5"/>
    </w:pPr>
    <w:rPr>
      <w:color w:val="918585"/>
      <w:sz w:val="20"/>
    </w:rPr>
  </w:style>
  <w:style w:type="paragraph" w:styleId="Heading7">
    <w:name w:val="heading 7"/>
    <w:basedOn w:val="Normal"/>
    <w:next w:val="Normal"/>
    <w:link w:val="Heading7Char"/>
    <w:qFormat/>
    <w:rsid w:val="003D1E29"/>
    <w:pPr>
      <w:ind w:left="720"/>
      <w:outlineLvl w:val="6"/>
    </w:pPr>
    <w:rPr>
      <w:i/>
    </w:rPr>
  </w:style>
  <w:style w:type="paragraph" w:styleId="Heading8">
    <w:name w:val="heading 8"/>
    <w:basedOn w:val="Normal"/>
    <w:next w:val="Normal"/>
    <w:link w:val="Heading8Char"/>
    <w:qFormat/>
    <w:rsid w:val="003D1E29"/>
    <w:pPr>
      <w:ind w:left="720"/>
      <w:outlineLvl w:val="7"/>
    </w:pPr>
    <w:rPr>
      <w:i/>
    </w:rPr>
  </w:style>
  <w:style w:type="paragraph" w:styleId="Heading9">
    <w:name w:val="heading 9"/>
    <w:basedOn w:val="Normal"/>
    <w:next w:val="Normal"/>
    <w:link w:val="Heading9Char"/>
    <w:qFormat/>
    <w:rsid w:val="003D1E29"/>
    <w:pPr>
      <w:ind w:left="720"/>
      <w:outlineLvl w:val="8"/>
    </w:pPr>
    <w:rPr>
      <w:i/>
    </w:rPr>
  </w:style>
  <w:style w:type="character" w:default="1" w:styleId="DefaultParagraphFont">
    <w:name w:val="Default Paragraph Font"/>
    <w:uiPriority w:val="1"/>
    <w:unhideWhenUsed/>
    <w:rsid w:val="003D1E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E29"/>
  </w:style>
  <w:style w:type="character" w:customStyle="1" w:styleId="Heading1Char">
    <w:name w:val="Heading 1 Char"/>
    <w:basedOn w:val="DefaultParagraphFont"/>
    <w:link w:val="Heading1"/>
    <w:rsid w:val="003D1E29"/>
    <w:rPr>
      <w:rFonts w:ascii="Times New Roman" w:eastAsia="Times New Roman" w:hAnsi="Times New Roman" w:cs="Times New Roman"/>
      <w:b/>
      <w:sz w:val="32"/>
      <w:szCs w:val="20"/>
      <w:lang w:eastAsia="en-US"/>
    </w:rPr>
  </w:style>
  <w:style w:type="paragraph" w:styleId="BodyText">
    <w:name w:val="Body Text"/>
    <w:basedOn w:val="Normal"/>
    <w:link w:val="BodyTextChar"/>
    <w:rsid w:val="003D1E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1E29"/>
    <w:rPr>
      <w:rFonts w:ascii="Times New Roman" w:eastAsia="Times New Roman" w:hAnsi="Times New Roman" w:cs="Times New Roman"/>
      <w:sz w:val="24"/>
      <w:lang w:eastAsia="en-US"/>
    </w:rPr>
  </w:style>
  <w:style w:type="paragraph" w:styleId="ListBullet">
    <w:name w:val="List Bullet"/>
    <w:basedOn w:val="List"/>
    <w:rsid w:val="003D1E29"/>
    <w:pPr>
      <w:numPr>
        <w:numId w:val="12"/>
      </w:numPr>
      <w:tabs>
        <w:tab w:val="clear" w:pos="340"/>
      </w:tabs>
      <w:spacing w:before="40" w:after="40"/>
    </w:pPr>
  </w:style>
  <w:style w:type="paragraph" w:styleId="ListBullet2">
    <w:name w:val="List Bullet 2"/>
    <w:basedOn w:val="List2"/>
    <w:rsid w:val="003D1E29"/>
    <w:pPr>
      <w:numPr>
        <w:numId w:val="13"/>
      </w:numPr>
      <w:tabs>
        <w:tab w:val="clear" w:pos="680"/>
      </w:tabs>
    </w:pPr>
  </w:style>
  <w:style w:type="paragraph" w:customStyle="1" w:styleId="SuperHeading">
    <w:name w:val="SuperHeading"/>
    <w:basedOn w:val="Normal"/>
    <w:rsid w:val="003D1E29"/>
    <w:pPr>
      <w:spacing w:before="240" w:after="120"/>
      <w:outlineLvl w:val="0"/>
    </w:pPr>
    <w:rPr>
      <w:rFonts w:ascii="Times New Roman" w:hAnsi="Times New Roman"/>
      <w:b/>
      <w:sz w:val="32"/>
    </w:rPr>
  </w:style>
  <w:style w:type="paragraph" w:customStyle="1" w:styleId="AllowPageBreak">
    <w:name w:val="AllowPageBreak"/>
    <w:rsid w:val="003D1E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E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E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E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E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E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E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1E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1E29"/>
    <w:rPr>
      <w:rFonts w:ascii="Courier New" w:eastAsia="Times New Roman" w:hAnsi="Courier New" w:cs="Times New Roman"/>
      <w:i/>
      <w:szCs w:val="20"/>
      <w:lang w:eastAsia="en-US"/>
    </w:rPr>
  </w:style>
  <w:style w:type="paragraph" w:customStyle="1" w:styleId="HeadingBase">
    <w:name w:val="Heading Base"/>
    <w:rsid w:val="003D1E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E29"/>
    <w:pPr>
      <w:tabs>
        <w:tab w:val="right" w:leader="dot" w:pos="9072"/>
      </w:tabs>
      <w:ind w:left="567"/>
    </w:pPr>
    <w:rPr>
      <w:szCs w:val="22"/>
    </w:rPr>
  </w:style>
  <w:style w:type="paragraph" w:customStyle="1" w:styleId="TOCBase">
    <w:name w:val="TOC Base"/>
    <w:rsid w:val="003D1E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E29"/>
    <w:pPr>
      <w:tabs>
        <w:tab w:val="right" w:leader="dot" w:pos="9072"/>
      </w:tabs>
      <w:spacing w:before="40" w:after="40"/>
      <w:ind w:left="284"/>
    </w:pPr>
    <w:rPr>
      <w:rFonts w:ascii="Times New Roman" w:hAnsi="Times New Roman"/>
    </w:rPr>
  </w:style>
  <w:style w:type="paragraph" w:styleId="TOC1">
    <w:name w:val="toc 1"/>
    <w:basedOn w:val="TOCBase"/>
    <w:next w:val="Normal"/>
    <w:rsid w:val="003D1E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1E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E29"/>
    <w:rPr>
      <w:rFonts w:ascii="Times New Roman" w:eastAsia="Times New Roman" w:hAnsi="Times New Roman" w:cs="Times New Roman"/>
      <w:sz w:val="16"/>
      <w:lang w:eastAsia="en-US"/>
    </w:rPr>
  </w:style>
  <w:style w:type="paragraph" w:styleId="Title">
    <w:name w:val="Title"/>
    <w:basedOn w:val="HeadingBase"/>
    <w:link w:val="TitleChar"/>
    <w:qFormat/>
    <w:rsid w:val="003D1E29"/>
    <w:pPr>
      <w:spacing w:before="5040"/>
      <w:jc w:val="center"/>
    </w:pPr>
    <w:rPr>
      <w:sz w:val="48"/>
      <w:szCs w:val="72"/>
      <w:lang w:val="en-US"/>
    </w:rPr>
  </w:style>
  <w:style w:type="character" w:customStyle="1" w:styleId="TitleChar">
    <w:name w:val="Title Char"/>
    <w:basedOn w:val="DefaultParagraphFont"/>
    <w:link w:val="Title"/>
    <w:rsid w:val="003D1E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E29"/>
    <w:pPr>
      <w:tabs>
        <w:tab w:val="left" w:pos="3600"/>
        <w:tab w:val="left" w:pos="3958"/>
      </w:tabs>
    </w:pPr>
  </w:style>
  <w:style w:type="paragraph" w:styleId="List">
    <w:name w:val="List"/>
    <w:basedOn w:val="BodyText"/>
    <w:next w:val="BodyText"/>
    <w:rsid w:val="003D1E29"/>
    <w:pPr>
      <w:tabs>
        <w:tab w:val="left" w:pos="340"/>
      </w:tabs>
      <w:spacing w:before="60" w:after="60"/>
      <w:ind w:left="340" w:hanging="340"/>
    </w:pPr>
  </w:style>
  <w:style w:type="paragraph" w:customStyle="1" w:styleId="Note">
    <w:name w:val="Note"/>
    <w:basedOn w:val="BodyText"/>
    <w:rsid w:val="003D1E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1E29"/>
    <w:rPr>
      <w:b/>
      <w:spacing w:val="0"/>
    </w:rPr>
  </w:style>
  <w:style w:type="paragraph" w:customStyle="1" w:styleId="SuperTitle">
    <w:name w:val="SuperTitle"/>
    <w:basedOn w:val="Title"/>
    <w:rsid w:val="003D1E29"/>
    <w:pPr>
      <w:framePr w:wrap="auto" w:hAnchor="text" w:y="6049"/>
    </w:pPr>
    <w:rPr>
      <w:color w:val="000000"/>
      <w:sz w:val="40"/>
    </w:rPr>
  </w:style>
  <w:style w:type="paragraph" w:customStyle="1" w:styleId="TOCTitle">
    <w:name w:val="TOCTitle"/>
    <w:basedOn w:val="Heading1"/>
    <w:rsid w:val="003D1E29"/>
    <w:pPr>
      <w:spacing w:after="240"/>
      <w:jc w:val="center"/>
      <w:outlineLvl w:val="9"/>
    </w:pPr>
    <w:rPr>
      <w:caps/>
    </w:rPr>
  </w:style>
  <w:style w:type="paragraph" w:customStyle="1" w:styleId="Version">
    <w:name w:val="Version"/>
    <w:rsid w:val="003D1E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E29"/>
    <w:pPr>
      <w:keepNext w:val="0"/>
      <w:tabs>
        <w:tab w:val="right" w:pos="4176"/>
      </w:tabs>
      <w:ind w:left="198" w:hanging="198"/>
    </w:pPr>
    <w:rPr>
      <w:rFonts w:ascii="Garamond" w:hAnsi="Garamond"/>
    </w:rPr>
  </w:style>
  <w:style w:type="paragraph" w:styleId="IndexHeading">
    <w:name w:val="index heading"/>
    <w:basedOn w:val="Normal"/>
    <w:next w:val="Index1"/>
    <w:semiHidden/>
    <w:rsid w:val="003D1E29"/>
    <w:pPr>
      <w:spacing w:before="120" w:after="120"/>
    </w:pPr>
    <w:rPr>
      <w:rFonts w:ascii="Arial" w:hAnsi="Arial"/>
      <w:b/>
      <w:color w:val="918585"/>
      <w:sz w:val="24"/>
    </w:rPr>
  </w:style>
  <w:style w:type="paragraph" w:styleId="Header">
    <w:name w:val="header"/>
    <w:basedOn w:val="Normal"/>
    <w:link w:val="HeaderChar"/>
    <w:rsid w:val="003D1E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E29"/>
    <w:rPr>
      <w:rFonts w:ascii="Times New Roman" w:eastAsia="Times New Roman" w:hAnsi="Times New Roman" w:cs="Times New Roman"/>
      <w:sz w:val="16"/>
      <w:szCs w:val="20"/>
      <w:lang w:val="en-GB" w:eastAsia="en-US"/>
    </w:rPr>
  </w:style>
  <w:style w:type="paragraph" w:customStyle="1" w:styleId="Chapter">
    <w:name w:val="Chapter"/>
    <w:basedOn w:val="Normal"/>
    <w:rsid w:val="003D1E29"/>
    <w:pPr>
      <w:spacing w:before="240"/>
    </w:pPr>
    <w:rPr>
      <w:rFonts w:ascii="Times New Roman" w:hAnsi="Times New Roman"/>
      <w:smallCaps/>
      <w:spacing w:val="80"/>
      <w:sz w:val="28"/>
    </w:rPr>
  </w:style>
  <w:style w:type="paragraph" w:customStyle="1" w:styleId="InChapter">
    <w:name w:val="InChapter"/>
    <w:basedOn w:val="Heading3"/>
    <w:rsid w:val="003D1E29"/>
    <w:pPr>
      <w:spacing w:after="240"/>
      <w:outlineLvl w:val="9"/>
    </w:pPr>
    <w:rPr>
      <w:noProof/>
    </w:rPr>
  </w:style>
  <w:style w:type="paragraph" w:styleId="Index2">
    <w:name w:val="index 2"/>
    <w:basedOn w:val="Normal"/>
    <w:next w:val="Normal"/>
    <w:semiHidden/>
    <w:rsid w:val="003D1E29"/>
    <w:pPr>
      <w:tabs>
        <w:tab w:val="right" w:pos="4176"/>
      </w:tabs>
      <w:ind w:left="568" w:hanging="284"/>
    </w:pPr>
    <w:rPr>
      <w:rFonts w:ascii="Garamond" w:hAnsi="Garamond"/>
    </w:rPr>
  </w:style>
  <w:style w:type="paragraph" w:customStyle="1" w:styleId="Byline">
    <w:name w:val="Byline"/>
    <w:rsid w:val="003D1E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E29"/>
    <w:pPr>
      <w:tabs>
        <w:tab w:val="clear" w:pos="3600"/>
        <w:tab w:val="clear" w:pos="3958"/>
      </w:tabs>
      <w:jc w:val="right"/>
    </w:pPr>
  </w:style>
  <w:style w:type="character" w:styleId="Emphasis">
    <w:name w:val="Emphasis"/>
    <w:basedOn w:val="DefaultParagraphFont"/>
    <w:qFormat/>
    <w:rsid w:val="003D1E29"/>
    <w:rPr>
      <w:i/>
    </w:rPr>
  </w:style>
  <w:style w:type="paragraph" w:styleId="Caption">
    <w:name w:val="caption"/>
    <w:basedOn w:val="BodyText"/>
    <w:next w:val="Normal"/>
    <w:qFormat/>
    <w:rsid w:val="003D1E29"/>
    <w:pPr>
      <w:framePr w:w="2268" w:hSpace="181" w:vSpace="181" w:wrap="around" w:vAnchor="text" w:hAnchor="page" w:x="1135" w:y="285" w:anchorLock="1"/>
    </w:pPr>
    <w:rPr>
      <w:i/>
    </w:rPr>
  </w:style>
  <w:style w:type="paragraph" w:customStyle="1" w:styleId="MiniTOCTitle">
    <w:name w:val="MiniTOCTitle"/>
    <w:basedOn w:val="Heading4"/>
    <w:rsid w:val="003D1E29"/>
    <w:pPr>
      <w:spacing w:before="240"/>
      <w:outlineLvl w:val="9"/>
    </w:pPr>
    <w:rPr>
      <w:noProof/>
      <w:sz w:val="24"/>
    </w:rPr>
  </w:style>
  <w:style w:type="paragraph" w:customStyle="1" w:styleId="MiniTOCItem">
    <w:name w:val="MiniTOCItem"/>
    <w:basedOn w:val="ListBullet"/>
    <w:rsid w:val="003D1E29"/>
    <w:pPr>
      <w:numPr>
        <w:numId w:val="0"/>
      </w:numPr>
      <w:tabs>
        <w:tab w:val="right" w:leader="dot" w:pos="6521"/>
      </w:tabs>
      <w:spacing w:before="0" w:after="0"/>
    </w:pPr>
  </w:style>
  <w:style w:type="paragraph" w:customStyle="1" w:styleId="TOFTitle">
    <w:name w:val="TOFTitle"/>
    <w:basedOn w:val="TOCTitle"/>
    <w:rsid w:val="003D1E29"/>
  </w:style>
  <w:style w:type="paragraph" w:styleId="TableofFigures">
    <w:name w:val="table of figures"/>
    <w:basedOn w:val="Normal"/>
    <w:next w:val="Normal"/>
    <w:semiHidden/>
    <w:rsid w:val="003D1E29"/>
    <w:pPr>
      <w:tabs>
        <w:tab w:val="right" w:leader="dot" w:pos="9072"/>
      </w:tabs>
      <w:ind w:left="970" w:hanging="403"/>
    </w:pPr>
    <w:rPr>
      <w:rFonts w:ascii="Times New Roman" w:hAnsi="Times New Roman"/>
      <w:b/>
    </w:rPr>
  </w:style>
  <w:style w:type="paragraph" w:styleId="ListNumber">
    <w:name w:val="List Number"/>
    <w:basedOn w:val="List"/>
    <w:rsid w:val="003D1E29"/>
    <w:pPr>
      <w:numPr>
        <w:numId w:val="15"/>
      </w:numPr>
      <w:tabs>
        <w:tab w:val="clear" w:pos="340"/>
      </w:tabs>
    </w:pPr>
  </w:style>
  <w:style w:type="character" w:customStyle="1" w:styleId="WingdingSymbols">
    <w:name w:val="Wingding Symbols"/>
    <w:rsid w:val="003D1E29"/>
    <w:rPr>
      <w:rFonts w:ascii="Wingdings" w:hAnsi="Wingdings"/>
    </w:rPr>
  </w:style>
  <w:style w:type="paragraph" w:customStyle="1" w:styleId="TableHeading">
    <w:name w:val="Table Heading"/>
    <w:basedOn w:val="HeadingBase"/>
    <w:rsid w:val="003D1E29"/>
    <w:pPr>
      <w:keepLines/>
      <w:pBdr>
        <w:bottom w:val="single" w:sz="6" w:space="1" w:color="918585"/>
      </w:pBdr>
      <w:spacing w:before="240"/>
    </w:pPr>
  </w:style>
  <w:style w:type="character" w:customStyle="1" w:styleId="HotSpot">
    <w:name w:val="HotSpot"/>
    <w:rsid w:val="003D1E29"/>
    <w:rPr>
      <w:color w:val="0033CC"/>
      <w:u w:val="none"/>
    </w:rPr>
  </w:style>
  <w:style w:type="paragraph" w:customStyle="1" w:styleId="BodyTextRight">
    <w:name w:val="Body Text Right"/>
    <w:basedOn w:val="BodyText"/>
    <w:rsid w:val="003D1E29"/>
    <w:pPr>
      <w:spacing w:before="0" w:after="0"/>
      <w:jc w:val="right"/>
    </w:pPr>
  </w:style>
  <w:style w:type="paragraph" w:styleId="Index3">
    <w:name w:val="index 3"/>
    <w:basedOn w:val="ListNumber2"/>
    <w:next w:val="Normal"/>
    <w:semiHidden/>
    <w:rsid w:val="003D1E29"/>
    <w:pPr>
      <w:numPr>
        <w:numId w:val="0"/>
      </w:numPr>
      <w:tabs>
        <w:tab w:val="right" w:leader="dot" w:pos="4176"/>
      </w:tabs>
    </w:pPr>
  </w:style>
  <w:style w:type="paragraph" w:styleId="ListNumber2">
    <w:name w:val="List Number 2"/>
    <w:basedOn w:val="List2"/>
    <w:rsid w:val="003D1E29"/>
    <w:pPr>
      <w:numPr>
        <w:numId w:val="10"/>
      </w:numPr>
      <w:tabs>
        <w:tab w:val="clear" w:pos="1060"/>
      </w:tabs>
    </w:pPr>
  </w:style>
  <w:style w:type="paragraph" w:customStyle="1" w:styleId="MarginNote">
    <w:name w:val="Margin Note"/>
    <w:basedOn w:val="BodyText"/>
    <w:rsid w:val="003D1E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E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E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1E29"/>
    <w:rPr>
      <w:sz w:val="32"/>
    </w:rPr>
  </w:style>
  <w:style w:type="paragraph" w:customStyle="1" w:styleId="HeadingProcedure">
    <w:name w:val="Heading Procedure"/>
    <w:basedOn w:val="HeadingBase"/>
    <w:next w:val="Normal"/>
    <w:rsid w:val="003D1E29"/>
    <w:pPr>
      <w:tabs>
        <w:tab w:val="left" w:pos="0"/>
      </w:tabs>
      <w:spacing w:before="120" w:after="60"/>
    </w:pPr>
    <w:rPr>
      <w:i/>
      <w:color w:val="918585"/>
      <w:sz w:val="22"/>
    </w:rPr>
  </w:style>
  <w:style w:type="paragraph" w:customStyle="1" w:styleId="TableBodyText">
    <w:name w:val="Table Body Text"/>
    <w:basedOn w:val="BodyText"/>
    <w:rsid w:val="003D1E29"/>
    <w:pPr>
      <w:spacing w:before="60" w:after="60"/>
    </w:pPr>
  </w:style>
  <w:style w:type="paragraph" w:styleId="ListContinue">
    <w:name w:val="List Continue"/>
    <w:basedOn w:val="List"/>
    <w:rsid w:val="003D1E29"/>
    <w:pPr>
      <w:ind w:firstLine="0"/>
    </w:pPr>
  </w:style>
  <w:style w:type="paragraph" w:customStyle="1" w:styleId="ListNote">
    <w:name w:val="List Note"/>
    <w:basedOn w:val="List"/>
    <w:rsid w:val="003D1E29"/>
    <w:pPr>
      <w:pBdr>
        <w:top w:val="single" w:sz="6" w:space="2" w:color="918585"/>
        <w:bottom w:val="single" w:sz="6" w:space="2" w:color="918585"/>
      </w:pBdr>
      <w:tabs>
        <w:tab w:val="left" w:pos="1021"/>
      </w:tabs>
      <w:ind w:firstLine="0"/>
    </w:pPr>
  </w:style>
  <w:style w:type="paragraph" w:customStyle="1" w:styleId="Warning">
    <w:name w:val="Warning"/>
    <w:basedOn w:val="BodyText"/>
    <w:rsid w:val="003D1E29"/>
    <w:pPr>
      <w:shd w:val="clear" w:color="auto" w:fill="D9D9D9"/>
      <w:tabs>
        <w:tab w:val="left" w:pos="992"/>
      </w:tabs>
      <w:ind w:left="119" w:right="119"/>
    </w:pPr>
    <w:rPr>
      <w:sz w:val="20"/>
    </w:rPr>
  </w:style>
  <w:style w:type="paragraph" w:customStyle="1" w:styleId="MarginIcons">
    <w:name w:val="Margin Icons"/>
    <w:basedOn w:val="BodyText"/>
    <w:rsid w:val="003D1E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E29"/>
    <w:rPr>
      <w:rFonts w:ascii="Courier New" w:hAnsi="Courier New"/>
    </w:rPr>
  </w:style>
  <w:style w:type="paragraph" w:customStyle="1" w:styleId="NoteBullet">
    <w:name w:val="Note Bullet"/>
    <w:basedOn w:val="Note"/>
    <w:rsid w:val="003D1E29"/>
    <w:pPr>
      <w:tabs>
        <w:tab w:val="clear" w:pos="680"/>
      </w:tabs>
      <w:spacing w:before="60" w:after="60"/>
    </w:pPr>
  </w:style>
  <w:style w:type="paragraph" w:customStyle="1" w:styleId="SubHeading2">
    <w:name w:val="SubHeading2"/>
    <w:basedOn w:val="HeadingBase"/>
    <w:rsid w:val="003D1E29"/>
    <w:pPr>
      <w:spacing w:before="240" w:after="60"/>
    </w:pPr>
    <w:rPr>
      <w:sz w:val="20"/>
    </w:rPr>
  </w:style>
  <w:style w:type="paragraph" w:customStyle="1" w:styleId="SubHeading1">
    <w:name w:val="SubHeading1"/>
    <w:basedOn w:val="HeadingBase"/>
    <w:rsid w:val="003D1E29"/>
    <w:pPr>
      <w:spacing w:before="240" w:after="60"/>
    </w:pPr>
    <w:rPr>
      <w:color w:val="918585"/>
      <w:sz w:val="22"/>
    </w:rPr>
  </w:style>
  <w:style w:type="paragraph" w:customStyle="1" w:styleId="SideHeading">
    <w:name w:val="Side Heading"/>
    <w:basedOn w:val="HeadingBase"/>
    <w:rsid w:val="003D1E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E29"/>
    <w:pPr>
      <w:tabs>
        <w:tab w:val="num" w:pos="360"/>
      </w:tabs>
    </w:pPr>
  </w:style>
  <w:style w:type="paragraph" w:styleId="PlainText">
    <w:name w:val="Plain Text"/>
    <w:basedOn w:val="Normal"/>
    <w:link w:val="PlainTextChar"/>
    <w:rsid w:val="003D1E29"/>
    <w:rPr>
      <w:sz w:val="20"/>
    </w:rPr>
  </w:style>
  <w:style w:type="character" w:customStyle="1" w:styleId="PlainTextChar">
    <w:name w:val="Plain Text Char"/>
    <w:basedOn w:val="DefaultParagraphFont"/>
    <w:link w:val="PlainText"/>
    <w:rsid w:val="003D1E29"/>
    <w:rPr>
      <w:rFonts w:ascii="Courier New" w:eastAsia="Times New Roman" w:hAnsi="Courier New" w:cs="Times New Roman"/>
      <w:sz w:val="20"/>
      <w:szCs w:val="20"/>
      <w:lang w:eastAsia="en-US"/>
    </w:rPr>
  </w:style>
  <w:style w:type="character" w:customStyle="1" w:styleId="MenuOption">
    <w:name w:val="Menu Option"/>
    <w:basedOn w:val="DefaultParagraphFont"/>
    <w:rsid w:val="003D1E29"/>
    <w:rPr>
      <w:b/>
      <w:smallCaps/>
    </w:rPr>
  </w:style>
  <w:style w:type="paragraph" w:customStyle="1" w:styleId="TableListNumber">
    <w:name w:val="Table List Number"/>
    <w:basedOn w:val="ListNumber"/>
    <w:rsid w:val="003D1E29"/>
    <w:pPr>
      <w:numPr>
        <w:numId w:val="0"/>
      </w:numPr>
    </w:pPr>
  </w:style>
  <w:style w:type="paragraph" w:styleId="TOC4">
    <w:name w:val="toc 4"/>
    <w:basedOn w:val="TOCBase"/>
    <w:next w:val="Normal"/>
    <w:semiHidden/>
    <w:rsid w:val="003D1E29"/>
    <w:pPr>
      <w:tabs>
        <w:tab w:val="right" w:leader="dot" w:pos="9071"/>
      </w:tabs>
      <w:ind w:left="1701"/>
    </w:pPr>
  </w:style>
  <w:style w:type="paragraph" w:customStyle="1" w:styleId="ListAlpha">
    <w:name w:val="List Alpha"/>
    <w:basedOn w:val="List"/>
    <w:rsid w:val="003D1E29"/>
    <w:pPr>
      <w:numPr>
        <w:numId w:val="9"/>
      </w:numPr>
    </w:pPr>
  </w:style>
  <w:style w:type="paragraph" w:customStyle="1" w:styleId="ListAlpha2">
    <w:name w:val="List Alpha 2"/>
    <w:basedOn w:val="List2"/>
    <w:rsid w:val="003D1E29"/>
    <w:pPr>
      <w:numPr>
        <w:numId w:val="8"/>
      </w:numPr>
    </w:pPr>
  </w:style>
  <w:style w:type="paragraph" w:styleId="List2">
    <w:name w:val="List 2"/>
    <w:basedOn w:val="BodyText"/>
    <w:rsid w:val="003D1E29"/>
    <w:pPr>
      <w:tabs>
        <w:tab w:val="left" w:pos="680"/>
      </w:tabs>
      <w:spacing w:before="60" w:after="60"/>
      <w:ind w:left="680" w:hanging="340"/>
    </w:pPr>
  </w:style>
  <w:style w:type="paragraph" w:styleId="List3">
    <w:name w:val="List 3"/>
    <w:basedOn w:val="BodyText"/>
    <w:rsid w:val="003D1E29"/>
    <w:pPr>
      <w:tabs>
        <w:tab w:val="left" w:pos="1021"/>
      </w:tabs>
      <w:spacing w:before="60" w:after="60"/>
      <w:ind w:left="1020" w:hanging="340"/>
    </w:pPr>
  </w:style>
  <w:style w:type="paragraph" w:styleId="List4">
    <w:name w:val="List 4"/>
    <w:basedOn w:val="BodyText"/>
    <w:rsid w:val="003D1E29"/>
    <w:pPr>
      <w:tabs>
        <w:tab w:val="left" w:pos="1361"/>
      </w:tabs>
      <w:spacing w:before="60" w:after="60"/>
      <w:ind w:left="1361" w:hanging="340"/>
    </w:pPr>
  </w:style>
  <w:style w:type="paragraph" w:styleId="List5">
    <w:name w:val="List 5"/>
    <w:basedOn w:val="BodyText"/>
    <w:rsid w:val="003D1E29"/>
    <w:pPr>
      <w:tabs>
        <w:tab w:val="left" w:pos="1701"/>
      </w:tabs>
      <w:spacing w:before="60" w:after="60"/>
      <w:ind w:left="1701" w:hanging="340"/>
    </w:pPr>
  </w:style>
  <w:style w:type="paragraph" w:styleId="ListBullet3">
    <w:name w:val="List Bullet 3"/>
    <w:basedOn w:val="List3"/>
    <w:rsid w:val="003D1E29"/>
    <w:pPr>
      <w:numPr>
        <w:numId w:val="14"/>
      </w:numPr>
      <w:tabs>
        <w:tab w:val="clear" w:pos="1021"/>
      </w:tabs>
      <w:ind w:left="1037" w:hanging="357"/>
    </w:pPr>
  </w:style>
  <w:style w:type="paragraph" w:styleId="ListBullet4">
    <w:name w:val="List Bullet 4"/>
    <w:basedOn w:val="List4"/>
    <w:rsid w:val="003D1E29"/>
    <w:pPr>
      <w:numPr>
        <w:numId w:val="3"/>
      </w:numPr>
      <w:tabs>
        <w:tab w:val="clear" w:pos="1361"/>
      </w:tabs>
    </w:pPr>
  </w:style>
  <w:style w:type="paragraph" w:styleId="ListBullet5">
    <w:name w:val="List Bullet 5"/>
    <w:basedOn w:val="List5"/>
    <w:rsid w:val="003D1E29"/>
    <w:pPr>
      <w:numPr>
        <w:numId w:val="4"/>
      </w:numPr>
    </w:pPr>
  </w:style>
  <w:style w:type="paragraph" w:styleId="ListContinue2">
    <w:name w:val="List Continue 2"/>
    <w:basedOn w:val="List2"/>
    <w:rsid w:val="003D1E29"/>
    <w:pPr>
      <w:ind w:firstLine="0"/>
    </w:pPr>
  </w:style>
  <w:style w:type="paragraph" w:styleId="ListContinue3">
    <w:name w:val="List Continue 3"/>
    <w:basedOn w:val="List3"/>
    <w:rsid w:val="003D1E29"/>
    <w:pPr>
      <w:ind w:left="1021" w:firstLine="0"/>
    </w:pPr>
  </w:style>
  <w:style w:type="paragraph" w:styleId="ListContinue4">
    <w:name w:val="List Continue 4"/>
    <w:basedOn w:val="List4"/>
    <w:rsid w:val="003D1E29"/>
    <w:pPr>
      <w:ind w:firstLine="0"/>
    </w:pPr>
  </w:style>
  <w:style w:type="paragraph" w:styleId="ListContinue5">
    <w:name w:val="List Continue 5"/>
    <w:basedOn w:val="List5"/>
    <w:rsid w:val="003D1E29"/>
    <w:pPr>
      <w:ind w:firstLine="0"/>
    </w:pPr>
  </w:style>
  <w:style w:type="paragraph" w:styleId="ListNumber3">
    <w:name w:val="List Number 3"/>
    <w:basedOn w:val="List3"/>
    <w:rsid w:val="003D1E29"/>
    <w:pPr>
      <w:numPr>
        <w:numId w:val="5"/>
      </w:numPr>
    </w:pPr>
  </w:style>
  <w:style w:type="paragraph" w:styleId="ListNumber4">
    <w:name w:val="List Number 4"/>
    <w:basedOn w:val="List4"/>
    <w:rsid w:val="003D1E29"/>
    <w:pPr>
      <w:numPr>
        <w:numId w:val="6"/>
      </w:numPr>
    </w:pPr>
  </w:style>
  <w:style w:type="paragraph" w:styleId="ListNumber5">
    <w:name w:val="List Number 5"/>
    <w:basedOn w:val="List5"/>
    <w:rsid w:val="003D1E29"/>
    <w:pPr>
      <w:numPr>
        <w:numId w:val="7"/>
      </w:numPr>
    </w:pPr>
  </w:style>
  <w:style w:type="paragraph" w:styleId="BlockText">
    <w:name w:val="Block Text"/>
    <w:basedOn w:val="Normal"/>
    <w:rsid w:val="003D1E29"/>
    <w:pPr>
      <w:spacing w:after="120"/>
      <w:ind w:left="1440" w:right="1440"/>
    </w:pPr>
  </w:style>
  <w:style w:type="character" w:customStyle="1" w:styleId="Subscript">
    <w:name w:val="Subscript"/>
    <w:basedOn w:val="DefaultParagraphFont"/>
    <w:rsid w:val="003D1E29"/>
    <w:rPr>
      <w:sz w:val="16"/>
      <w:vertAlign w:val="subscript"/>
    </w:rPr>
  </w:style>
  <w:style w:type="character" w:customStyle="1" w:styleId="Superscript">
    <w:name w:val="Superscript"/>
    <w:basedOn w:val="DefaultParagraphFont"/>
    <w:rsid w:val="003D1E29"/>
    <w:rPr>
      <w:sz w:val="16"/>
      <w:vertAlign w:val="superscript"/>
    </w:rPr>
  </w:style>
  <w:style w:type="character" w:customStyle="1" w:styleId="Symbols">
    <w:name w:val="Symbols"/>
    <w:basedOn w:val="DefaultParagraphFont"/>
    <w:rsid w:val="003D1E29"/>
    <w:rPr>
      <w:rFonts w:ascii="Symbol" w:hAnsi="Symbol"/>
    </w:rPr>
  </w:style>
  <w:style w:type="character" w:customStyle="1" w:styleId="MenuOptions">
    <w:name w:val="Menu Options"/>
    <w:basedOn w:val="DefaultParagraphFont"/>
    <w:rsid w:val="003D1E29"/>
    <w:rPr>
      <w:rFonts w:ascii="Arial Narrow" w:hAnsi="Arial Narrow"/>
      <w:smallCaps/>
    </w:rPr>
  </w:style>
  <w:style w:type="character" w:customStyle="1" w:styleId="Buttons">
    <w:name w:val="Buttons"/>
    <w:basedOn w:val="DefaultParagraphFont"/>
    <w:rsid w:val="003D1E29"/>
    <w:rPr>
      <w:b/>
    </w:rPr>
  </w:style>
  <w:style w:type="character" w:customStyle="1" w:styleId="Underlined">
    <w:name w:val="Underlined"/>
    <w:basedOn w:val="DefaultParagraphFont"/>
    <w:rsid w:val="003D1E29"/>
    <w:rPr>
      <w:u w:val="single"/>
    </w:rPr>
  </w:style>
  <w:style w:type="paragraph" w:customStyle="1" w:styleId="TableBodyTextRight">
    <w:name w:val="Table Body Text Right"/>
    <w:basedOn w:val="TableBodyText"/>
    <w:rsid w:val="003D1E29"/>
    <w:pPr>
      <w:widowControl w:val="0"/>
      <w:autoSpaceDE w:val="0"/>
      <w:autoSpaceDN w:val="0"/>
      <w:adjustRightInd w:val="0"/>
      <w:jc w:val="right"/>
    </w:pPr>
    <w:rPr>
      <w:rFonts w:cs="Arial"/>
      <w:szCs w:val="18"/>
    </w:rPr>
  </w:style>
  <w:style w:type="paragraph" w:customStyle="1" w:styleId="CopyrightText">
    <w:name w:val="Copyright Text"/>
    <w:basedOn w:val="BodyText"/>
    <w:rsid w:val="003D1E29"/>
    <w:rPr>
      <w:sz w:val="18"/>
    </w:rPr>
  </w:style>
  <w:style w:type="paragraph" w:customStyle="1" w:styleId="BodySmallRight">
    <w:name w:val="Body Small Right"/>
    <w:basedOn w:val="BodyTextRight"/>
    <w:rsid w:val="003D1E29"/>
    <w:rPr>
      <w:sz w:val="18"/>
      <w:szCs w:val="18"/>
    </w:rPr>
  </w:style>
  <w:style w:type="paragraph" w:customStyle="1" w:styleId="MarginEdition">
    <w:name w:val="Margin Edition"/>
    <w:basedOn w:val="MarginNote"/>
    <w:rsid w:val="003D1E29"/>
    <w:pPr>
      <w:spacing w:before="0" w:after="0"/>
    </w:pPr>
    <w:rPr>
      <w:rFonts w:ascii="Times New Roman" w:hAnsi="Times New Roman"/>
      <w:color w:val="999999"/>
    </w:rPr>
  </w:style>
  <w:style w:type="paragraph" w:customStyle="1" w:styleId="Spacer">
    <w:name w:val="Spacer"/>
    <w:basedOn w:val="Normal"/>
    <w:rsid w:val="003D1E29"/>
    <w:rPr>
      <w:sz w:val="2"/>
      <w:szCs w:val="2"/>
    </w:rPr>
  </w:style>
  <w:style w:type="character" w:customStyle="1" w:styleId="Small">
    <w:name w:val="Small"/>
    <w:basedOn w:val="DefaultParagraphFont"/>
    <w:rsid w:val="003D1E29"/>
    <w:rPr>
      <w:sz w:val="16"/>
    </w:rPr>
  </w:style>
  <w:style w:type="paragraph" w:customStyle="1" w:styleId="WideTable">
    <w:name w:val="Wide Table"/>
    <w:basedOn w:val="Normal"/>
    <w:rsid w:val="003D1E29"/>
    <w:pPr>
      <w:ind w:left="-1418"/>
    </w:pPr>
    <w:rPr>
      <w:sz w:val="2"/>
      <w:szCs w:val="2"/>
    </w:rPr>
  </w:style>
  <w:style w:type="character" w:styleId="PageNumber">
    <w:name w:val="page number"/>
    <w:basedOn w:val="DefaultParagraphFont"/>
    <w:rsid w:val="003D1E29"/>
  </w:style>
  <w:style w:type="paragraph" w:styleId="Quote">
    <w:name w:val="Quote"/>
    <w:basedOn w:val="Heading1"/>
    <w:link w:val="QuoteChar"/>
    <w:qFormat/>
    <w:rsid w:val="003D1E29"/>
    <w:rPr>
      <w:b w:val="0"/>
      <w:sz w:val="72"/>
      <w:szCs w:val="72"/>
      <w:lang w:val="en-NZ"/>
    </w:rPr>
  </w:style>
  <w:style w:type="character" w:customStyle="1" w:styleId="QuoteChar">
    <w:name w:val="Quote Char"/>
    <w:basedOn w:val="DefaultParagraphFont"/>
    <w:link w:val="Quote"/>
    <w:rsid w:val="003D1E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E29"/>
    <w:pPr>
      <w:pageBreakBefore/>
    </w:pPr>
  </w:style>
  <w:style w:type="paragraph" w:customStyle="1" w:styleId="Border">
    <w:name w:val="Border"/>
    <w:basedOn w:val="Normal"/>
    <w:qFormat/>
    <w:rsid w:val="003D1E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E29"/>
    <w:rPr>
      <w:b/>
      <w:bCs/>
      <w:i/>
      <w:iCs/>
      <w:color w:val="auto"/>
    </w:rPr>
  </w:style>
  <w:style w:type="paragraph" w:styleId="IntenseQuote">
    <w:name w:val="Intense Quote"/>
    <w:basedOn w:val="Normal"/>
    <w:next w:val="Normal"/>
    <w:link w:val="IntenseQuoteChar"/>
    <w:uiPriority w:val="30"/>
    <w:qFormat/>
    <w:rsid w:val="003D1E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E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1E29"/>
    <w:rPr>
      <w:smallCaps/>
      <w:color w:val="auto"/>
      <w:u w:val="single"/>
    </w:rPr>
  </w:style>
  <w:style w:type="character" w:styleId="IntenseReference">
    <w:name w:val="Intense Reference"/>
    <w:basedOn w:val="DefaultParagraphFont"/>
    <w:uiPriority w:val="32"/>
    <w:qFormat/>
    <w:rsid w:val="003D1E29"/>
    <w:rPr>
      <w:b/>
      <w:bCs/>
      <w:smallCaps/>
      <w:color w:val="auto"/>
      <w:spacing w:val="5"/>
      <w:u w:val="single"/>
    </w:rPr>
  </w:style>
  <w:style w:type="paragraph" w:customStyle="1" w:styleId="2ColumnHeading">
    <w:name w:val="2Column Heading"/>
    <w:basedOn w:val="BodyText"/>
    <w:qFormat/>
    <w:rsid w:val="003D1E29"/>
    <w:pPr>
      <w:spacing w:after="60"/>
      <w:ind w:left="-2268"/>
    </w:pPr>
    <w:rPr>
      <w:b/>
    </w:rPr>
  </w:style>
  <w:style w:type="paragraph" w:customStyle="1" w:styleId="Heading1TOC">
    <w:name w:val="Heading1 TOC"/>
    <w:basedOn w:val="Normal"/>
    <w:qFormat/>
    <w:rsid w:val="003D1E29"/>
    <w:pPr>
      <w:spacing w:before="240" w:after="120"/>
    </w:pPr>
    <w:rPr>
      <w:rFonts w:ascii="Times New Roman" w:hAnsi="Times New Roman"/>
      <w:b/>
      <w:sz w:val="32"/>
    </w:rPr>
  </w:style>
  <w:style w:type="paragraph" w:customStyle="1" w:styleId="Heading2TOC">
    <w:name w:val="Heading2 TOC"/>
    <w:basedOn w:val="Normal"/>
    <w:qFormat/>
    <w:rsid w:val="003D1E29"/>
    <w:pPr>
      <w:spacing w:before="240" w:after="60"/>
    </w:pPr>
    <w:rPr>
      <w:rFonts w:ascii="Times New Roman" w:hAnsi="Times New Roman"/>
      <w:b/>
      <w:sz w:val="28"/>
    </w:rPr>
  </w:style>
  <w:style w:type="character" w:customStyle="1" w:styleId="Underline">
    <w:name w:val="Underline"/>
    <w:basedOn w:val="DefaultParagraphFont"/>
    <w:qFormat/>
    <w:rsid w:val="003D1E29"/>
    <w:rPr>
      <w:u w:val="single"/>
    </w:rPr>
  </w:style>
  <w:style w:type="character" w:customStyle="1" w:styleId="BoldandItalics">
    <w:name w:val="Bold and Italics"/>
    <w:qFormat/>
    <w:rsid w:val="003D1E29"/>
    <w:rPr>
      <w:b/>
      <w:i/>
      <w:u w:val="none"/>
    </w:rPr>
  </w:style>
  <w:style w:type="paragraph" w:styleId="BalloonText">
    <w:name w:val="Balloon Text"/>
    <w:basedOn w:val="Normal"/>
    <w:link w:val="BalloonTextChar"/>
    <w:rsid w:val="003D1E29"/>
    <w:rPr>
      <w:rFonts w:ascii="Tahoma" w:hAnsi="Tahoma" w:cs="Tahoma"/>
      <w:sz w:val="16"/>
      <w:szCs w:val="16"/>
    </w:rPr>
  </w:style>
  <w:style w:type="character" w:customStyle="1" w:styleId="BalloonTextChar">
    <w:name w:val="Balloon Text Char"/>
    <w:basedOn w:val="DefaultParagraphFont"/>
    <w:link w:val="BalloonText"/>
    <w:rsid w:val="003D1E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1E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1E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1E29"/>
    <w:rPr>
      <w:b/>
      <w:color w:val="660033"/>
      <w:spacing w:val="0"/>
    </w:rPr>
  </w:style>
  <w:style w:type="paragraph" w:customStyle="1" w:styleId="Nameditemlist">
    <w:name w:val="Named item list"/>
    <w:basedOn w:val="BodyText"/>
    <w:qFormat/>
    <w:rsid w:val="003D1E29"/>
    <w:pPr>
      <w:tabs>
        <w:tab w:val="left" w:pos="2835"/>
      </w:tabs>
      <w:ind w:left="2835" w:hanging="2835"/>
    </w:pPr>
  </w:style>
  <w:style w:type="paragraph" w:customStyle="1" w:styleId="BodyTextnopadding">
    <w:name w:val="Body Text no padding"/>
    <w:basedOn w:val="BodyText"/>
    <w:qFormat/>
    <w:rsid w:val="003D1E29"/>
    <w:pPr>
      <w:spacing w:before="0" w:after="0"/>
    </w:pPr>
  </w:style>
  <w:style w:type="paragraph" w:customStyle="1" w:styleId="BodyTextBold">
    <w:name w:val="Body Text Bold"/>
    <w:basedOn w:val="BodyText"/>
    <w:qFormat/>
    <w:rsid w:val="003D1E29"/>
    <w:rPr>
      <w:b/>
    </w:rPr>
  </w:style>
  <w:style w:type="character" w:styleId="Hyperlink">
    <w:name w:val="Hyperlink"/>
    <w:basedOn w:val="DefaultParagraphFont"/>
    <w:uiPriority w:val="99"/>
    <w:unhideWhenUsed/>
    <w:rsid w:val="000666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1101</Words>
  <Characters>7428</Characters>
  <Application>Microsoft Office Word</Application>
  <DocSecurity>0</DocSecurity>
  <Lines>265</Lines>
  <Paragraphs>133</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CPPACC5005 Interpret and apply building control legislation when assessing large-scale buildings for access</dc:title>
  <dc:subject>Approved</dc:subject>
  <dc:creator>BuildSkills Australia</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