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1A72" w:rsidP="002D1A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CPPACC5005 Interpret and apply building control legislation when assessing large-scale buildings for access</w:t>
      </w:r>
      <w:r>
        <w:fldChar w:fldCharType="end"/>
      </w:r>
    </w:p>
    <w:p w:rsidR="002D1A72" w:rsidP="002D1A72">
      <w:pPr>
        <w:pStyle w:val="Version"/>
        <w:sectPr w:rsidSect="00A92A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2AED" w:rsidP="00A92AED">
      <w:pPr>
        <w:pStyle w:val="SuperHeading"/>
      </w:pPr>
      <w:r w:rsidRPr="00A92AED">
        <w:t>Assessment Requirements for CPPACC5005 Interpret and apply building control legislation when assessing large-scale buildings for access</w:t>
      </w:r>
    </w:p>
    <w:p w:rsidR="00000000" w:rsidRPr="00A92AED" w:rsidP="00A92AED">
      <w:pPr>
        <w:pStyle w:val="Heading1"/>
      </w:pPr>
      <w:bookmarkStart w:id="1" w:name="O_1173482"/>
      <w:bookmarkEnd w:id="1"/>
      <w:r w:rsidRPr="00A92A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92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AED">
            <w:pPr>
              <w:pStyle w:val="BodyText"/>
              <w:rPr>
                <w:lang w:val="en-NZ"/>
              </w:rPr>
            </w:pPr>
            <w:r w:rsidRPr="00A92AE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AED" w:rsidP="00A92AED">
            <w:pPr>
              <w:pStyle w:val="BodyText"/>
            </w:pPr>
            <w:r w:rsidRPr="00A92AED">
              <w:t>This unit first released with CPP Property Services Training Package Release 14.0.</w:t>
            </w:r>
          </w:p>
          <w:p w:rsidR="00000000" w:rsidRPr="00A92AED" w:rsidP="00A92AED">
            <w:pPr>
              <w:pStyle w:val="BodyText"/>
            </w:pPr>
            <w:r w:rsidRPr="00A92AED">
              <w:t>Supersedes and is equivalent to CPPACC5005A Interpret and apply building control legislation when assessing large-scale buildings for access.</w:t>
            </w:r>
          </w:p>
          <w:p w:rsidR="00000000" w:rsidRPr="00A92AED" w:rsidP="00A92AED">
            <w:pPr>
              <w:pStyle w:val="BodyText"/>
            </w:pPr>
            <w:r w:rsidRPr="00A92AED">
              <w:t>Unit updated to meet the Standa</w:t>
            </w:r>
            <w:r w:rsidRPr="00A92AED">
              <w:t xml:space="preserve">rds for Training Packages 2012. </w:t>
            </w:r>
          </w:p>
        </w:tc>
      </w:tr>
    </w:tbl>
    <w:p w:rsidR="00000000" w:rsidRPr="00A92AED" w:rsidP="00A92AED">
      <w:pPr>
        <w:pStyle w:val="BodyText"/>
      </w:pPr>
    </w:p>
    <w:p w:rsidR="00000000" w:rsidRPr="00A92AED" w:rsidP="00A92AED">
      <w:pPr>
        <w:pStyle w:val="AllowPageBreak"/>
      </w:pPr>
    </w:p>
    <w:p w:rsidR="00000000" w:rsidRPr="00A92AED" w:rsidP="00A92AED">
      <w:pPr>
        <w:pStyle w:val="Heading1"/>
      </w:pPr>
      <w:bookmarkStart w:id="2" w:name="O_1173485"/>
      <w:bookmarkEnd w:id="2"/>
      <w:r w:rsidRPr="00A92AED">
        <w:t>Performance Evidence</w:t>
      </w:r>
    </w:p>
    <w:p w:rsidR="00000000" w:rsidRPr="00A92AED" w:rsidP="002D1A72">
      <w:pPr>
        <w:pStyle w:val="BodyText"/>
      </w:pPr>
      <w:r w:rsidRPr="00A92AED">
        <w:t>To demonstrate competency, a candidate must meet the elements and performance criteria of this unit by interpreting and applying building control legislation to assess two large-sca</w:t>
      </w:r>
      <w:r w:rsidRPr="00A92AED">
        <w:t>le buildings for access.</w:t>
      </w:r>
    </w:p>
    <w:p w:rsidR="00000000" w:rsidRPr="00A92AED" w:rsidP="00A92AED">
      <w:pPr>
        <w:pStyle w:val="Heading1"/>
      </w:pPr>
      <w:bookmarkStart w:id="3" w:name="O_1173484"/>
      <w:bookmarkEnd w:id="3"/>
      <w:r w:rsidRPr="00A92AED">
        <w:t>Knowledge Evidence</w:t>
      </w:r>
    </w:p>
    <w:p w:rsidR="00000000" w:rsidRPr="00A92AED" w:rsidP="002D1A72">
      <w:pPr>
        <w:pStyle w:val="BodyText"/>
      </w:pPr>
      <w:r w:rsidRPr="00A92AED">
        <w:t>To be competent in this unit, a candidate must demonstrate knowledge of:</w:t>
      </w:r>
    </w:p>
    <w:p w:rsidR="00000000" w:rsidRPr="00A92AED" w:rsidP="00A92AED">
      <w:pPr>
        <w:pStyle w:val="ListBullet"/>
      </w:pPr>
      <w:r w:rsidRPr="00A92AED">
        <w:t>Australian administrative law system applicable to the accessibility of large-scale buildings</w:t>
      </w:r>
    </w:p>
    <w:p w:rsidR="00000000" w:rsidRPr="00A92AED" w:rsidP="00A92AED">
      <w:pPr>
        <w:pStyle w:val="ListBullet"/>
      </w:pPr>
      <w:r w:rsidRPr="00A92AED">
        <w:t>codes of practice and eth</w:t>
      </w:r>
      <w:r w:rsidRPr="00A92AED">
        <w:t>ics relevant to access consulting and definitions of:</w:t>
      </w:r>
    </w:p>
    <w:p w:rsidR="00000000" w:rsidRPr="00A92AED" w:rsidP="00A92AED">
      <w:pPr>
        <w:pStyle w:val="ListBullet2"/>
      </w:pPr>
      <w:r w:rsidRPr="00A92AED">
        <w:t>duty of care as it relates to common law</w:t>
      </w:r>
    </w:p>
    <w:p w:rsidR="00000000" w:rsidRPr="00A92AED" w:rsidP="00A92AED">
      <w:pPr>
        <w:pStyle w:val="ListBullet2"/>
      </w:pPr>
      <w:r w:rsidRPr="00A92AED">
        <w:t>conflict of interest</w:t>
      </w:r>
    </w:p>
    <w:p w:rsidR="00000000" w:rsidRPr="00A92AED" w:rsidP="00A92AED">
      <w:pPr>
        <w:pStyle w:val="ListBullet"/>
      </w:pPr>
      <w:r w:rsidRPr="00A92AED">
        <w:t>Commonwealth, state and territory legislation, regulations, codes and standards relevant to access consulting activities:</w:t>
      </w:r>
    </w:p>
    <w:p w:rsidR="00000000" w:rsidRPr="00A92AED" w:rsidP="00A92AED">
      <w:pPr>
        <w:pStyle w:val="ListBullet2"/>
      </w:pPr>
      <w:r w:rsidRPr="00A92AED">
        <w:t>anti-discrimination and disability discrimination</w:t>
      </w:r>
    </w:p>
    <w:p w:rsidR="00000000" w:rsidRPr="00A92AED" w:rsidP="00A92AED">
      <w:pPr>
        <w:pStyle w:val="ListBullet2"/>
      </w:pPr>
      <w:r w:rsidRPr="00A92AED">
        <w:t>building control including local government regulations and by-laws</w:t>
      </w:r>
    </w:p>
    <w:p w:rsidR="00000000" w:rsidRPr="00A92AED" w:rsidP="00A92AED">
      <w:pPr>
        <w:pStyle w:val="ListBullet2"/>
      </w:pPr>
      <w:r w:rsidRPr="00A92AED">
        <w:t>Disability (Access to Premises – Buildings) Standards 2010 under the Disability Discrimination Act 1992 (or their successors) – known as t</w:t>
      </w:r>
      <w:r w:rsidRPr="00A92AED">
        <w:t>he Access to Premises Standards</w:t>
      </w:r>
    </w:p>
    <w:p w:rsidR="00000000" w:rsidRPr="00A92AED" w:rsidP="00A92AED">
      <w:pPr>
        <w:pStyle w:val="ListBullet2"/>
      </w:pPr>
      <w:r w:rsidRPr="00A92AED">
        <w:t>National Construction Code (NCC) building classifications and access requirements</w:t>
      </w:r>
    </w:p>
    <w:p w:rsidR="00000000" w:rsidRPr="00A92AED" w:rsidP="00A92AED">
      <w:pPr>
        <w:pStyle w:val="ListBullet2"/>
      </w:pPr>
      <w:r w:rsidRPr="00A92AED">
        <w:t>National Disability Insurance Scheme (NDIS) Specialist Disability Accommodation Design Standard (or its successor)</w:t>
      </w:r>
    </w:p>
    <w:p w:rsidR="00000000" w:rsidRPr="00A92AED" w:rsidP="00A92AED">
      <w:pPr>
        <w:pStyle w:val="ListBullet2"/>
      </w:pPr>
      <w:r w:rsidRPr="00A92AED">
        <w:t>Livable Housing Australia L</w:t>
      </w:r>
      <w:r w:rsidRPr="00A92AED">
        <w:t>ivable Housing Design Guidelines (or its successor)</w:t>
      </w:r>
    </w:p>
    <w:p w:rsidR="00000000" w:rsidRPr="00A92AED" w:rsidP="00A92AED">
      <w:pPr>
        <w:pStyle w:val="ListBullet2"/>
      </w:pPr>
      <w:r w:rsidRPr="00A92AED">
        <w:t>principles of universal design</w:t>
      </w:r>
    </w:p>
    <w:p w:rsidR="00000000" w:rsidRPr="00A92AED" w:rsidP="00A92AED">
      <w:pPr>
        <w:pStyle w:val="ListBullet2"/>
      </w:pPr>
      <w:r w:rsidRPr="00A92AED">
        <w:t xml:space="preserve">privacy and confidentiality </w:t>
      </w:r>
    </w:p>
    <w:p w:rsidR="00000000" w:rsidRPr="00A92AED" w:rsidP="00A92AED">
      <w:pPr>
        <w:pStyle w:val="ListBullet"/>
      </w:pPr>
      <w:r w:rsidRPr="00A92AED">
        <w:t>measurements and calculations used to determine provisions for access</w:t>
      </w:r>
    </w:p>
    <w:p w:rsidR="00000000" w:rsidRPr="00A92AED" w:rsidP="00A92AED">
      <w:pPr>
        <w:pStyle w:val="ListBullet"/>
      </w:pPr>
      <w:r w:rsidRPr="00A92AED">
        <w:t>processes for interpreting construction drawings and associated documenta</w:t>
      </w:r>
      <w:r w:rsidRPr="00A92AED">
        <w:t>tion when assessing the access compliance of large-scale buildings</w:t>
      </w:r>
    </w:p>
    <w:p w:rsidR="00000000" w:rsidRPr="00A92AED" w:rsidP="00A92AED">
      <w:pPr>
        <w:pStyle w:val="ListBullet"/>
      </w:pPr>
      <w:r w:rsidRPr="00A92AED">
        <w:t>research methodologies and analytical processes used when interpreting and applying building control legislation</w:t>
      </w:r>
    </w:p>
    <w:p w:rsidR="00000000" w:rsidRPr="00A92AED" w:rsidP="00A92AED">
      <w:pPr>
        <w:pStyle w:val="ListBullet"/>
      </w:pPr>
      <w:r w:rsidRPr="00A92AED">
        <w:t>roles, responsibilities and powers of building certifiers</w:t>
      </w:r>
    </w:p>
    <w:p w:rsidR="00000000" w:rsidRPr="00A92AED" w:rsidP="00A92AED">
      <w:pPr>
        <w:pStyle w:val="ListBullet"/>
      </w:pPr>
      <w:r w:rsidRPr="00A92AED">
        <w:t>types of disability and limitations that each disability places on an individual’s ability to access the environment</w:t>
      </w:r>
    </w:p>
    <w:p w:rsidR="00000000" w:rsidRPr="00A92AED" w:rsidP="00A92AED">
      <w:pPr>
        <w:pStyle w:val="ListBullet"/>
      </w:pPr>
      <w:r w:rsidRPr="00A92AED">
        <w:t>workplace requirements for interpreting and applying building control legislation when assessing large-scale buildings for access:</w:t>
      </w:r>
    </w:p>
    <w:p w:rsidR="00000000" w:rsidRPr="00A92AED" w:rsidP="00A92AED">
      <w:pPr>
        <w:pStyle w:val="ListBullet2"/>
      </w:pPr>
      <w:r w:rsidRPr="00A92AED">
        <w:t>documen</w:t>
      </w:r>
      <w:r w:rsidRPr="00A92AED">
        <w:t>tation and records administration</w:t>
      </w:r>
    </w:p>
    <w:p w:rsidR="00000000" w:rsidRPr="00A92AED" w:rsidP="00A92AED">
      <w:pPr>
        <w:pStyle w:val="ListBullet2"/>
      </w:pPr>
      <w:r w:rsidRPr="00A92AED">
        <w:t>quality</w:t>
      </w:r>
    </w:p>
    <w:p w:rsidR="00000000" w:rsidRPr="00A92AED" w:rsidP="00A92AED">
      <w:pPr>
        <w:pStyle w:val="ListBullet2"/>
      </w:pPr>
      <w:r w:rsidRPr="00A92AED">
        <w:t>work role boundaries – responsibilities, limitations and professional abilities.</w:t>
      </w:r>
    </w:p>
    <w:p w:rsidR="00000000" w:rsidRPr="00A92AED" w:rsidP="00A92AED">
      <w:pPr>
        <w:pStyle w:val="AllowPageBreak"/>
      </w:pPr>
    </w:p>
    <w:p w:rsidR="00000000" w:rsidRPr="00A92AED" w:rsidP="00A92AED">
      <w:pPr>
        <w:pStyle w:val="Heading1"/>
      </w:pPr>
      <w:bookmarkStart w:id="4" w:name="O_1173483"/>
      <w:bookmarkEnd w:id="4"/>
      <w:r w:rsidRPr="00A92AED">
        <w:t>Assessment Conditions</w:t>
      </w:r>
    </w:p>
    <w:p w:rsidR="00000000" w:rsidRPr="00A92AED" w:rsidP="002D1A72">
      <w:pPr>
        <w:pStyle w:val="BodyText"/>
      </w:pPr>
      <w:r w:rsidRPr="00A92AED">
        <w:t>Assessors must meet the requirements for assessors contained in the Standards for Registered</w:t>
      </w:r>
      <w:r w:rsidRPr="00A92AED">
        <w:t xml:space="preserve"> Training Organisations. </w:t>
      </w:r>
    </w:p>
    <w:p w:rsidR="00000000" w:rsidRPr="00A92AED" w:rsidP="002D1A72">
      <w:pPr>
        <w:pStyle w:val="BodyText"/>
      </w:pPr>
      <w:r w:rsidRPr="00A92AED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A92AED" w:rsidP="002D1A72">
      <w:pPr>
        <w:pStyle w:val="BodyText"/>
      </w:pPr>
      <w:r w:rsidRPr="00A92AED">
        <w:t>Candidates must have acc</w:t>
      </w:r>
      <w:r w:rsidRPr="00A92AED">
        <w:t>ess to documentation, information and technologies required to achieve the performance criteria and performance evidence.</w:t>
      </w:r>
    </w:p>
    <w:p w:rsidR="00000000" w:rsidRPr="00A92AED" w:rsidP="00A92AED">
      <w:pPr>
        <w:pStyle w:val="Heading1"/>
      </w:pPr>
      <w:bookmarkStart w:id="5" w:name="O_1173481"/>
      <w:bookmarkEnd w:id="5"/>
      <w:r w:rsidRPr="00A92AED">
        <w:t>Links</w:t>
      </w:r>
    </w:p>
    <w:p w:rsidR="00000000" w:rsidRPr="00A92AED" w:rsidP="002D1A72">
      <w:pPr>
        <w:pStyle w:val="BodyText"/>
      </w:pPr>
      <w:r w:rsidRPr="00A92AE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145A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92AED" w:rsidP="00A92AED"/>
    <w:sectPr w:rsidSect="00A92A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A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AED" w:rsidRPr="002D1A72" w:rsidP="002D1A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A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A72" w:rsidP="00A92A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1A72" w:rsidP="00A92A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D1A72" w:rsidP="00A92A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A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A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2AED" w:rsidRPr="002D1A72" w:rsidP="002D1A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A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A72" w:rsidRPr="002D2AF8" w:rsidP="00A92A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CPPACC5005 Interpret and apply building control legislation when assessing large-scale buildings for access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D1A72" w:rsidP="00A92A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2E03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EE05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8001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A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2A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2A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2A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2A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2A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2A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2A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2A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2A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2A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2AED"/>
  </w:style>
  <w:style w:type="character" w:customStyle="1" w:styleId="Heading1Char">
    <w:name w:val="Heading 1 Char"/>
    <w:basedOn w:val="DefaultParagraphFont"/>
    <w:link w:val="Heading1"/>
    <w:rsid w:val="00A92A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2A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2A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2A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2A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2A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2A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2A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2A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2A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2A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2A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2A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2A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2A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2A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2A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2A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2A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2A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2A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2A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2A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2A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2A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2A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2A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2AED"/>
    <w:rPr>
      <w:b/>
      <w:spacing w:val="0"/>
    </w:rPr>
  </w:style>
  <w:style w:type="paragraph" w:customStyle="1" w:styleId="SuperTitle">
    <w:name w:val="SuperTitle"/>
    <w:basedOn w:val="Title"/>
    <w:rsid w:val="00A92A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2A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2A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2A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2A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2A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2A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2A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2A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2A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2A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2A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2AED"/>
    <w:rPr>
      <w:i/>
    </w:rPr>
  </w:style>
  <w:style w:type="paragraph" w:styleId="Caption">
    <w:name w:val="caption"/>
    <w:basedOn w:val="BodyText"/>
    <w:next w:val="Normal"/>
    <w:qFormat/>
    <w:rsid w:val="00A92A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2A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2A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2AED"/>
  </w:style>
  <w:style w:type="paragraph" w:styleId="TableofFigures">
    <w:name w:val="table of figures"/>
    <w:basedOn w:val="Normal"/>
    <w:next w:val="Normal"/>
    <w:semiHidden/>
    <w:rsid w:val="00A92A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2A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2AED"/>
    <w:rPr>
      <w:rFonts w:ascii="Wingdings" w:hAnsi="Wingdings"/>
    </w:rPr>
  </w:style>
  <w:style w:type="paragraph" w:customStyle="1" w:styleId="TableHeading">
    <w:name w:val="Table Heading"/>
    <w:basedOn w:val="HeadingBase"/>
    <w:rsid w:val="00A92A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2AED"/>
    <w:rPr>
      <w:color w:val="0033CC"/>
      <w:u w:val="none"/>
    </w:rPr>
  </w:style>
  <w:style w:type="paragraph" w:customStyle="1" w:styleId="BodyTextRight">
    <w:name w:val="Body Text Right"/>
    <w:basedOn w:val="BodyText"/>
    <w:rsid w:val="00A92A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2A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2A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2A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2A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2A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2AED"/>
    <w:rPr>
      <w:sz w:val="32"/>
    </w:rPr>
  </w:style>
  <w:style w:type="paragraph" w:customStyle="1" w:styleId="HeadingProcedure">
    <w:name w:val="Heading Procedure"/>
    <w:basedOn w:val="HeadingBase"/>
    <w:next w:val="Normal"/>
    <w:rsid w:val="00A92A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2AED"/>
    <w:pPr>
      <w:spacing w:before="60" w:after="60"/>
    </w:pPr>
  </w:style>
  <w:style w:type="paragraph" w:styleId="ListContinue">
    <w:name w:val="List Continue"/>
    <w:basedOn w:val="List"/>
    <w:rsid w:val="00A92AED"/>
    <w:pPr>
      <w:ind w:firstLine="0"/>
    </w:pPr>
  </w:style>
  <w:style w:type="paragraph" w:customStyle="1" w:styleId="ListNote">
    <w:name w:val="List Note"/>
    <w:basedOn w:val="List"/>
    <w:rsid w:val="00A92A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2A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2A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2AED"/>
    <w:rPr>
      <w:rFonts w:ascii="Courier New" w:hAnsi="Courier New"/>
    </w:rPr>
  </w:style>
  <w:style w:type="paragraph" w:customStyle="1" w:styleId="NoteBullet">
    <w:name w:val="Note Bullet"/>
    <w:basedOn w:val="Note"/>
    <w:rsid w:val="00A92A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2A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2A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2A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2A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2A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2A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2AED"/>
    <w:rPr>
      <w:b/>
      <w:smallCaps/>
    </w:rPr>
  </w:style>
  <w:style w:type="paragraph" w:customStyle="1" w:styleId="TableListNumber">
    <w:name w:val="Table List Number"/>
    <w:basedOn w:val="ListNumber"/>
    <w:rsid w:val="00A92A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2A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2AED"/>
    <w:pPr>
      <w:numPr>
        <w:numId w:val="9"/>
      </w:numPr>
    </w:pPr>
  </w:style>
  <w:style w:type="paragraph" w:customStyle="1" w:styleId="ListAlpha2">
    <w:name w:val="List Alpha 2"/>
    <w:basedOn w:val="List2"/>
    <w:rsid w:val="00A92AED"/>
    <w:pPr>
      <w:numPr>
        <w:numId w:val="8"/>
      </w:numPr>
    </w:pPr>
  </w:style>
  <w:style w:type="paragraph" w:styleId="List2">
    <w:name w:val="List 2"/>
    <w:basedOn w:val="BodyText"/>
    <w:rsid w:val="00A92A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2A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2A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2A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2A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2A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2AED"/>
    <w:pPr>
      <w:numPr>
        <w:numId w:val="4"/>
      </w:numPr>
    </w:pPr>
  </w:style>
  <w:style w:type="paragraph" w:styleId="ListContinue2">
    <w:name w:val="List Continue 2"/>
    <w:basedOn w:val="List2"/>
    <w:rsid w:val="00A92AED"/>
    <w:pPr>
      <w:ind w:firstLine="0"/>
    </w:pPr>
  </w:style>
  <w:style w:type="paragraph" w:styleId="ListContinue3">
    <w:name w:val="List Continue 3"/>
    <w:basedOn w:val="List3"/>
    <w:rsid w:val="00A92AED"/>
    <w:pPr>
      <w:ind w:left="1021" w:firstLine="0"/>
    </w:pPr>
  </w:style>
  <w:style w:type="paragraph" w:styleId="ListContinue4">
    <w:name w:val="List Continue 4"/>
    <w:basedOn w:val="List4"/>
    <w:rsid w:val="00A92AED"/>
    <w:pPr>
      <w:ind w:firstLine="0"/>
    </w:pPr>
  </w:style>
  <w:style w:type="paragraph" w:styleId="ListContinue5">
    <w:name w:val="List Continue 5"/>
    <w:basedOn w:val="List5"/>
    <w:rsid w:val="00A92AED"/>
    <w:pPr>
      <w:ind w:firstLine="0"/>
    </w:pPr>
  </w:style>
  <w:style w:type="paragraph" w:styleId="ListNumber3">
    <w:name w:val="List Number 3"/>
    <w:basedOn w:val="List3"/>
    <w:rsid w:val="00A92AED"/>
    <w:pPr>
      <w:numPr>
        <w:numId w:val="5"/>
      </w:numPr>
    </w:pPr>
  </w:style>
  <w:style w:type="paragraph" w:styleId="ListNumber4">
    <w:name w:val="List Number 4"/>
    <w:basedOn w:val="List4"/>
    <w:rsid w:val="00A92AED"/>
    <w:pPr>
      <w:numPr>
        <w:numId w:val="6"/>
      </w:numPr>
    </w:pPr>
  </w:style>
  <w:style w:type="paragraph" w:styleId="ListNumber5">
    <w:name w:val="List Number 5"/>
    <w:basedOn w:val="List5"/>
    <w:rsid w:val="00A92AED"/>
    <w:pPr>
      <w:numPr>
        <w:numId w:val="7"/>
      </w:numPr>
    </w:pPr>
  </w:style>
  <w:style w:type="paragraph" w:styleId="BlockText">
    <w:name w:val="Block Text"/>
    <w:basedOn w:val="Normal"/>
    <w:rsid w:val="00A92A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2A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2AED"/>
    <w:rPr>
      <w:sz w:val="16"/>
      <w:vertAlign w:val="superscript"/>
    </w:rPr>
  </w:style>
  <w:style w:type="character" w:customStyle="1" w:styleId="Symbols">
    <w:name w:val="Symbols"/>
    <w:basedOn w:val="DefaultParagraphFont"/>
    <w:rsid w:val="00A92AED"/>
    <w:rPr>
      <w:rFonts w:ascii="Symbol" w:hAnsi="Symbol"/>
    </w:rPr>
  </w:style>
  <w:style w:type="character" w:customStyle="1" w:styleId="MenuOptions">
    <w:name w:val="Menu Options"/>
    <w:basedOn w:val="DefaultParagraphFont"/>
    <w:rsid w:val="00A92A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2AED"/>
    <w:rPr>
      <w:b/>
    </w:rPr>
  </w:style>
  <w:style w:type="character" w:customStyle="1" w:styleId="Underlined">
    <w:name w:val="Underlined"/>
    <w:basedOn w:val="DefaultParagraphFont"/>
    <w:rsid w:val="00A92AED"/>
    <w:rPr>
      <w:u w:val="single"/>
    </w:rPr>
  </w:style>
  <w:style w:type="paragraph" w:customStyle="1" w:styleId="TableBodyTextRight">
    <w:name w:val="Table Body Text Right"/>
    <w:basedOn w:val="TableBodyText"/>
    <w:rsid w:val="00A92A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2AED"/>
    <w:rPr>
      <w:sz w:val="18"/>
    </w:rPr>
  </w:style>
  <w:style w:type="paragraph" w:customStyle="1" w:styleId="BodySmallRight">
    <w:name w:val="Body Small Right"/>
    <w:basedOn w:val="BodyTextRight"/>
    <w:rsid w:val="00A92AED"/>
    <w:rPr>
      <w:sz w:val="18"/>
      <w:szCs w:val="18"/>
    </w:rPr>
  </w:style>
  <w:style w:type="paragraph" w:customStyle="1" w:styleId="MarginEdition">
    <w:name w:val="Margin Edition"/>
    <w:basedOn w:val="MarginNote"/>
    <w:rsid w:val="00A92A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2AED"/>
    <w:rPr>
      <w:sz w:val="2"/>
      <w:szCs w:val="2"/>
    </w:rPr>
  </w:style>
  <w:style w:type="character" w:customStyle="1" w:styleId="Small">
    <w:name w:val="Small"/>
    <w:basedOn w:val="DefaultParagraphFont"/>
    <w:rsid w:val="00A92AED"/>
    <w:rPr>
      <w:sz w:val="16"/>
    </w:rPr>
  </w:style>
  <w:style w:type="paragraph" w:customStyle="1" w:styleId="WideTable">
    <w:name w:val="Wide Table"/>
    <w:basedOn w:val="Normal"/>
    <w:rsid w:val="00A92A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2AED"/>
  </w:style>
  <w:style w:type="paragraph" w:styleId="Quote">
    <w:name w:val="Quote"/>
    <w:basedOn w:val="Heading1"/>
    <w:link w:val="QuoteChar"/>
    <w:qFormat/>
    <w:rsid w:val="00A92A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2A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2AED"/>
    <w:pPr>
      <w:pageBreakBefore/>
    </w:pPr>
  </w:style>
  <w:style w:type="paragraph" w:customStyle="1" w:styleId="Border">
    <w:name w:val="Border"/>
    <w:basedOn w:val="Normal"/>
    <w:qFormat/>
    <w:rsid w:val="00A92A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2A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A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A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2A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2A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2A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2A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2A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2AED"/>
    <w:rPr>
      <w:u w:val="single"/>
    </w:rPr>
  </w:style>
  <w:style w:type="character" w:customStyle="1" w:styleId="BoldandItalics">
    <w:name w:val="Bold and Italics"/>
    <w:qFormat/>
    <w:rsid w:val="00A92AED"/>
    <w:rPr>
      <w:b/>
      <w:i/>
      <w:u w:val="none"/>
    </w:rPr>
  </w:style>
  <w:style w:type="paragraph" w:styleId="BalloonText">
    <w:name w:val="Balloon Text"/>
    <w:basedOn w:val="Normal"/>
    <w:link w:val="BalloonTextChar"/>
    <w:rsid w:val="00A92A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2A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2A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2A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2A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2A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2AED"/>
    <w:pPr>
      <w:spacing w:before="0" w:after="0"/>
    </w:pPr>
  </w:style>
  <w:style w:type="paragraph" w:customStyle="1" w:styleId="BodyTextBold">
    <w:name w:val="Body Text Bold"/>
    <w:basedOn w:val="BodyText"/>
    <w:qFormat/>
    <w:rsid w:val="00A92AED"/>
    <w:rPr>
      <w:b/>
    </w:rPr>
  </w:style>
  <w:style w:type="character" w:styleId="Hyperlink">
    <w:name w:val="Hyperlink"/>
    <w:basedOn w:val="DefaultParagraphFont"/>
    <w:uiPriority w:val="99"/>
    <w:unhideWhenUsed/>
    <w:rsid w:val="002D1A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3073</Characters>
  <Application>Microsoft Office Word</Application>
  <DocSecurity>0</DocSecurity>
  <Lines>73</Lines>
  <Paragraphs>47</Paragraphs>
  <ScaleCrop>false</ScaleCrop>
  <Company>Author-it Software Corporation Ltd.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CPPACC5005 Interpret and apply building control legislation when assessing large-scale buildings for access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2022-12-19T06:15:00Z</dcterms:created>
  <dcterms:modified xsi:type="dcterms:W3CDTF">2022-12-19T06:15:00Z</dcterms:modified>
</cp:coreProperties>
</file>