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19F" w:rsidP="006A7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CPPACC5004 Apply building codes and standards to accessible large-scale buildings</w:t>
      </w:r>
      <w:r>
        <w:fldChar w:fldCharType="end"/>
      </w:r>
    </w:p>
    <w:p w:rsidR="006A719F" w:rsidP="006A719F">
      <w:pPr>
        <w:pStyle w:val="Version"/>
        <w:sectPr w:rsidSect="007E7B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BB0" w:rsidP="007E7BB0">
      <w:pPr>
        <w:pStyle w:val="SuperHeading"/>
      </w:pPr>
      <w:r w:rsidRPr="007E7BB0">
        <w:t>Assessment Requirements for CPPACC5004 Apply building codes and standards to accessible large-scale buildings</w:t>
      </w:r>
    </w:p>
    <w:p w:rsidR="00000000" w:rsidRPr="007E7BB0" w:rsidP="007E7BB0">
      <w:pPr>
        <w:pStyle w:val="Heading1"/>
      </w:pPr>
      <w:bookmarkStart w:id="1" w:name="O_1172728"/>
      <w:bookmarkEnd w:id="1"/>
      <w:r w:rsidRPr="007E7B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7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BB0">
            <w:pPr>
              <w:pStyle w:val="BodyText"/>
              <w:rPr>
                <w:lang w:val="en-NZ"/>
              </w:rPr>
            </w:pPr>
            <w:r w:rsidRPr="007E7B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BB0" w:rsidP="007E7BB0">
            <w:pPr>
              <w:pStyle w:val="BodyText"/>
            </w:pPr>
            <w:r w:rsidRPr="007E7BB0">
              <w:t>This unit first released with CPP Property Services Training Package Release 14.0.</w:t>
            </w:r>
          </w:p>
          <w:p w:rsidR="00000000" w:rsidRPr="007E7BB0" w:rsidP="007E7BB0">
            <w:pPr>
              <w:pStyle w:val="BodyText"/>
            </w:pPr>
            <w:r w:rsidRPr="007E7BB0">
              <w:t>Supersedes and is equivalent to CPPACC5004A Apply building codes and standards to accessible large-scale buildings.</w:t>
            </w:r>
          </w:p>
          <w:p w:rsidR="00000000" w:rsidRPr="007E7BB0" w:rsidP="007E7BB0">
            <w:pPr>
              <w:pStyle w:val="BodyText"/>
            </w:pPr>
            <w:r w:rsidRPr="007E7BB0">
              <w:t>Unit updated to meet the Standards for Training Packages 2012.</w:t>
            </w:r>
          </w:p>
        </w:tc>
      </w:tr>
    </w:tbl>
    <w:p w:rsidR="00000000" w:rsidRPr="007E7BB0" w:rsidP="007E7BB0">
      <w:pPr>
        <w:pStyle w:val="BodyText"/>
      </w:pPr>
    </w:p>
    <w:p w:rsidR="00000000" w:rsidRPr="007E7BB0" w:rsidP="007E7BB0">
      <w:pPr>
        <w:pStyle w:val="AllowPageBreak"/>
      </w:pPr>
    </w:p>
    <w:p w:rsidR="00000000" w:rsidRPr="007E7BB0" w:rsidP="007E7BB0">
      <w:pPr>
        <w:pStyle w:val="Heading1"/>
      </w:pPr>
      <w:bookmarkStart w:id="2" w:name="O_1172731"/>
      <w:bookmarkEnd w:id="2"/>
      <w:r w:rsidRPr="007E7BB0">
        <w:t>Performance Evidence</w:t>
      </w:r>
    </w:p>
    <w:p w:rsidR="00000000" w:rsidRPr="007E7BB0" w:rsidP="006A719F">
      <w:pPr>
        <w:pStyle w:val="BodyText"/>
      </w:pPr>
      <w:r w:rsidRPr="007E7BB0">
        <w:t>To demonstrate competency, a candid</w:t>
      </w:r>
      <w:r w:rsidRPr="007E7BB0">
        <w:t>ate must meet the elements and performance criteria of this unit by applying building codes and standards to the development of two different accessible large-scale buildings.</w:t>
      </w:r>
    </w:p>
    <w:p w:rsidR="00000000" w:rsidRPr="007E7BB0" w:rsidP="007E7BB0">
      <w:pPr>
        <w:pStyle w:val="Heading1"/>
      </w:pPr>
      <w:bookmarkStart w:id="3" w:name="O_1172730"/>
      <w:bookmarkEnd w:id="3"/>
      <w:r w:rsidRPr="007E7BB0">
        <w:t>Knowledge Evidence</w:t>
      </w:r>
    </w:p>
    <w:p w:rsidR="00000000" w:rsidRPr="007E7BB0" w:rsidP="006A719F">
      <w:pPr>
        <w:pStyle w:val="BodyText"/>
      </w:pPr>
      <w:r w:rsidRPr="007E7BB0">
        <w:t xml:space="preserve">To be competent in this unit, a candidate </w:t>
      </w:r>
      <w:r w:rsidRPr="007E7BB0">
        <w:t>must demonstrate knowledge of:</w:t>
      </w:r>
    </w:p>
    <w:p w:rsidR="00000000" w:rsidRPr="007E7BB0" w:rsidP="007E7BB0">
      <w:pPr>
        <w:pStyle w:val="ListBullet"/>
      </w:pPr>
      <w:r w:rsidRPr="007E7BB0">
        <w:t>Commonwealth, state and territory legislation, regulations, codes and standards relevant to access consulting activities:</w:t>
      </w:r>
    </w:p>
    <w:p w:rsidR="00000000" w:rsidRPr="007E7BB0" w:rsidP="007E7BB0">
      <w:pPr>
        <w:pStyle w:val="ListBullet2"/>
      </w:pPr>
      <w:r w:rsidRPr="007E7BB0">
        <w:t>anti-discrimination and disability discrimination</w:t>
      </w:r>
    </w:p>
    <w:p w:rsidR="00000000" w:rsidRPr="007E7BB0" w:rsidP="007E7BB0">
      <w:pPr>
        <w:pStyle w:val="ListBullet2"/>
      </w:pPr>
      <w:r w:rsidRPr="007E7BB0">
        <w:t>building control includ</w:t>
      </w:r>
      <w:r w:rsidRPr="007E7BB0">
        <w:t>ing local government regulations and by-laws</w:t>
      </w:r>
    </w:p>
    <w:p w:rsidR="00000000" w:rsidRPr="007E7BB0" w:rsidP="007E7BB0">
      <w:pPr>
        <w:pStyle w:val="ListBullet2"/>
      </w:pPr>
      <w:r w:rsidRPr="007E7BB0">
        <w:t>Disability (Access to Premises – Buildings) Standards 2010 under the Disability Discrimination Act 1992 (or their successors) – known as the Access to Premises Standards</w:t>
      </w:r>
    </w:p>
    <w:p w:rsidR="00000000" w:rsidRPr="007E7BB0" w:rsidP="007E7BB0">
      <w:pPr>
        <w:pStyle w:val="ListBullet2"/>
      </w:pPr>
      <w:r w:rsidRPr="007E7BB0">
        <w:t>National Construction Code (NCC) and prim</w:t>
      </w:r>
      <w:r w:rsidRPr="007E7BB0">
        <w:t>ary referenced Australian Standards:</w:t>
      </w:r>
    </w:p>
    <w:p w:rsidR="00000000" w:rsidRPr="007E7BB0" w:rsidP="007E7BB0">
      <w:pPr>
        <w:pStyle w:val="ListBullet3"/>
      </w:pPr>
      <w:r w:rsidRPr="007E7BB0">
        <w:t>building classifications</w:t>
      </w:r>
    </w:p>
    <w:p w:rsidR="00000000" w:rsidRPr="007E7BB0" w:rsidP="007E7BB0">
      <w:pPr>
        <w:pStyle w:val="ListBullet3"/>
      </w:pPr>
      <w:r w:rsidRPr="007E7BB0">
        <w:t>access requirements</w:t>
      </w:r>
    </w:p>
    <w:p w:rsidR="00000000" w:rsidRPr="007E7BB0" w:rsidP="007E7BB0">
      <w:pPr>
        <w:pStyle w:val="ListBullet3"/>
      </w:pPr>
      <w:r w:rsidRPr="007E7BB0">
        <w:t>deemed-to-satisfy (DTS) provisions</w:t>
      </w:r>
    </w:p>
    <w:p w:rsidR="00000000" w:rsidRPr="007E7BB0" w:rsidP="007E7BB0">
      <w:pPr>
        <w:pStyle w:val="ListBullet3"/>
      </w:pPr>
      <w:r w:rsidRPr="007E7BB0">
        <w:t>assessment methods for performance and DTS solutions</w:t>
      </w:r>
    </w:p>
    <w:p w:rsidR="00000000" w:rsidRPr="007E7BB0" w:rsidP="007E7BB0">
      <w:pPr>
        <w:pStyle w:val="ListBullet2"/>
      </w:pPr>
      <w:r w:rsidRPr="007E7BB0">
        <w:t>National Disability Insurance Scheme (NDIS) Specialist Disability Accommodation Desi</w:t>
      </w:r>
      <w:r w:rsidRPr="007E7BB0">
        <w:t>gn Standard (or its successor)</w:t>
      </w:r>
    </w:p>
    <w:p w:rsidR="00000000" w:rsidRPr="007E7BB0" w:rsidP="007E7BB0">
      <w:pPr>
        <w:pStyle w:val="ListBullet2"/>
      </w:pPr>
      <w:r w:rsidRPr="007E7BB0">
        <w:t>Livable Housing Australia Livable Housing Design Guidelines (or its successor)</w:t>
      </w:r>
    </w:p>
    <w:p w:rsidR="00000000" w:rsidRPr="007E7BB0" w:rsidP="007E7BB0">
      <w:pPr>
        <w:pStyle w:val="ListBullet2"/>
      </w:pPr>
      <w:r w:rsidRPr="007E7BB0">
        <w:t>principles of universal design</w:t>
      </w:r>
    </w:p>
    <w:p w:rsidR="00000000" w:rsidRPr="007E7BB0" w:rsidP="007E7BB0">
      <w:pPr>
        <w:pStyle w:val="ListBullet2"/>
      </w:pPr>
      <w:r w:rsidRPr="007E7BB0">
        <w:t xml:space="preserve">privacy and confidentiality </w:t>
      </w:r>
    </w:p>
    <w:p w:rsidR="00000000" w:rsidRPr="007E7BB0" w:rsidP="007E7BB0">
      <w:pPr>
        <w:pStyle w:val="ListBullet"/>
      </w:pPr>
      <w:r w:rsidRPr="007E7BB0">
        <w:t>measurements and calculations used to determine provisions for access</w:t>
      </w:r>
    </w:p>
    <w:p w:rsidR="00000000" w:rsidRPr="007E7BB0" w:rsidP="007E7BB0">
      <w:pPr>
        <w:pStyle w:val="ListBullet"/>
      </w:pPr>
      <w:r w:rsidRPr="007E7BB0">
        <w:t>processes for interpreting construction plans, drawings and specifications when assessing classifications of buildings</w:t>
      </w:r>
    </w:p>
    <w:p w:rsidR="00000000" w:rsidRPr="007E7BB0" w:rsidP="007E7BB0">
      <w:pPr>
        <w:pStyle w:val="ListBullet"/>
      </w:pPr>
      <w:r w:rsidRPr="007E7BB0">
        <w:t>research methodologies and analytical processes used to access information to support access consulting activities</w:t>
      </w:r>
    </w:p>
    <w:p w:rsidR="00000000" w:rsidRPr="007E7BB0" w:rsidP="007E7BB0">
      <w:pPr>
        <w:pStyle w:val="ListBullet"/>
      </w:pPr>
      <w:r w:rsidRPr="007E7BB0">
        <w:t>roles, responsibilitie</w:t>
      </w:r>
      <w:r w:rsidRPr="007E7BB0">
        <w:t>s and powers of building certifiers</w:t>
      </w:r>
    </w:p>
    <w:p w:rsidR="00000000" w:rsidRPr="007E7BB0" w:rsidP="007E7BB0">
      <w:pPr>
        <w:pStyle w:val="ListBullet"/>
      </w:pPr>
      <w:r w:rsidRPr="007E7BB0">
        <w:t>types of disability and limitations that each disability places on an individual’s ability to access the environment</w:t>
      </w:r>
    </w:p>
    <w:p w:rsidR="00000000" w:rsidRPr="007E7BB0" w:rsidP="007E7BB0">
      <w:pPr>
        <w:pStyle w:val="ListBullet"/>
      </w:pPr>
      <w:r w:rsidRPr="007E7BB0">
        <w:t>workplace requirements for applying building codes and standards to accessible large-scale buildings:</w:t>
      </w:r>
    </w:p>
    <w:p w:rsidR="00000000" w:rsidRPr="007E7BB0" w:rsidP="007E7BB0">
      <w:pPr>
        <w:pStyle w:val="ListBullet2"/>
      </w:pPr>
      <w:r w:rsidRPr="007E7BB0">
        <w:t>documentation and records administration</w:t>
      </w:r>
    </w:p>
    <w:p w:rsidR="00000000" w:rsidRPr="007E7BB0" w:rsidP="007E7BB0">
      <w:pPr>
        <w:pStyle w:val="ListBullet2"/>
      </w:pPr>
      <w:r w:rsidRPr="007E7BB0">
        <w:t>quality</w:t>
      </w:r>
    </w:p>
    <w:p w:rsidR="00000000" w:rsidRPr="007E7BB0" w:rsidP="007E7BB0">
      <w:pPr>
        <w:pStyle w:val="ListBullet2"/>
      </w:pPr>
      <w:r w:rsidRPr="007E7BB0">
        <w:t>work role boundaries - responsibilities, limitations and professional abilities.</w:t>
      </w:r>
    </w:p>
    <w:p w:rsidR="00000000" w:rsidRPr="007E7BB0" w:rsidP="007E7BB0">
      <w:pPr>
        <w:pStyle w:val="AllowPageBreak"/>
      </w:pPr>
    </w:p>
    <w:p w:rsidR="00000000" w:rsidRPr="007E7BB0" w:rsidP="007E7BB0">
      <w:pPr>
        <w:pStyle w:val="Heading1"/>
      </w:pPr>
      <w:bookmarkStart w:id="4" w:name="O_1172729"/>
      <w:bookmarkEnd w:id="4"/>
      <w:r w:rsidRPr="007E7BB0">
        <w:t>Assessment Conditions</w:t>
      </w:r>
    </w:p>
    <w:p w:rsidR="00000000" w:rsidRPr="007E7BB0" w:rsidP="006A719F">
      <w:pPr>
        <w:pStyle w:val="BodyText"/>
      </w:pPr>
      <w:r w:rsidRPr="007E7BB0">
        <w:t>Assessors must meet the requirements for assessors contained in the Standards for Reg</w:t>
      </w:r>
      <w:r w:rsidRPr="007E7BB0">
        <w:t xml:space="preserve">istered Training Organisations. </w:t>
      </w:r>
    </w:p>
    <w:p w:rsidR="00000000" w:rsidRPr="007E7BB0" w:rsidP="006A719F">
      <w:pPr>
        <w:pStyle w:val="BodyText"/>
      </w:pPr>
      <w:r w:rsidRPr="007E7BB0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7E7BB0" w:rsidP="006A719F">
      <w:pPr>
        <w:pStyle w:val="BodyText"/>
      </w:pPr>
      <w:r w:rsidRPr="007E7BB0">
        <w:t>Candidates must h</w:t>
      </w:r>
      <w:r w:rsidRPr="007E7BB0">
        <w:t>ave access to documentation, information and technologies required to achieve the performance criteria and performance evidence.</w:t>
      </w:r>
    </w:p>
    <w:p w:rsidR="00000000" w:rsidRPr="007E7BB0" w:rsidP="007E7BB0">
      <w:pPr>
        <w:pStyle w:val="Heading1"/>
      </w:pPr>
      <w:bookmarkStart w:id="5" w:name="O_1172727"/>
      <w:bookmarkEnd w:id="5"/>
      <w:r w:rsidRPr="007E7BB0">
        <w:t>Links</w:t>
      </w:r>
    </w:p>
    <w:p w:rsidR="00000000" w:rsidRPr="007E7BB0" w:rsidP="006A719F">
      <w:pPr>
        <w:pStyle w:val="BodyText"/>
      </w:pPr>
      <w:r w:rsidRPr="007E7BB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05F9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7BB0" w:rsidP="007E7BB0"/>
    <w:sectPr w:rsidSect="007E7B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B0" w:rsidRPr="006A719F" w:rsidP="006A7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9F" w:rsidP="007E7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19F" w:rsidP="007E7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A719F" w:rsidP="007E7B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BB0" w:rsidRPr="006A719F" w:rsidP="006A7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9F" w:rsidRPr="002D2AF8" w:rsidP="007E7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CPPACC5004 Apply building codes and standards to accessible large-scale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A719F" w:rsidP="007E7B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2AA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824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E0B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BB0"/>
  </w:style>
  <w:style w:type="character" w:customStyle="1" w:styleId="Heading1Char">
    <w:name w:val="Heading 1 Char"/>
    <w:basedOn w:val="DefaultParagraphFont"/>
    <w:link w:val="Heading1"/>
    <w:rsid w:val="007E7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B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B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B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7B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7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B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B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BB0"/>
    <w:rPr>
      <w:b/>
      <w:spacing w:val="0"/>
    </w:rPr>
  </w:style>
  <w:style w:type="paragraph" w:customStyle="1" w:styleId="SuperTitle">
    <w:name w:val="SuperTitle"/>
    <w:basedOn w:val="Title"/>
    <w:rsid w:val="007E7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B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BB0"/>
    <w:rPr>
      <w:i/>
    </w:rPr>
  </w:style>
  <w:style w:type="paragraph" w:styleId="Caption">
    <w:name w:val="caption"/>
    <w:basedOn w:val="BodyText"/>
    <w:next w:val="Normal"/>
    <w:qFormat/>
    <w:rsid w:val="007E7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BB0"/>
  </w:style>
  <w:style w:type="paragraph" w:styleId="TableofFigures">
    <w:name w:val="table of figures"/>
    <w:basedOn w:val="Normal"/>
    <w:next w:val="Normal"/>
    <w:semiHidden/>
    <w:rsid w:val="007E7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B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7BB0"/>
    <w:rPr>
      <w:rFonts w:ascii="Wingdings" w:hAnsi="Wingdings"/>
    </w:rPr>
  </w:style>
  <w:style w:type="paragraph" w:customStyle="1" w:styleId="TableHeading">
    <w:name w:val="Table Heading"/>
    <w:basedOn w:val="HeadingBase"/>
    <w:rsid w:val="007E7B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BB0"/>
    <w:rPr>
      <w:color w:val="0033CC"/>
      <w:u w:val="none"/>
    </w:rPr>
  </w:style>
  <w:style w:type="paragraph" w:customStyle="1" w:styleId="BodyTextRight">
    <w:name w:val="Body Text Right"/>
    <w:basedOn w:val="BodyText"/>
    <w:rsid w:val="007E7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B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BB0"/>
    <w:rPr>
      <w:sz w:val="32"/>
    </w:rPr>
  </w:style>
  <w:style w:type="paragraph" w:customStyle="1" w:styleId="HeadingProcedure">
    <w:name w:val="Heading Procedure"/>
    <w:basedOn w:val="HeadingBase"/>
    <w:next w:val="Normal"/>
    <w:rsid w:val="007E7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BB0"/>
    <w:pPr>
      <w:spacing w:before="60" w:after="60"/>
    </w:pPr>
  </w:style>
  <w:style w:type="paragraph" w:styleId="ListContinue">
    <w:name w:val="List Continue"/>
    <w:basedOn w:val="List"/>
    <w:rsid w:val="007E7BB0"/>
    <w:pPr>
      <w:ind w:firstLine="0"/>
    </w:pPr>
  </w:style>
  <w:style w:type="paragraph" w:customStyle="1" w:styleId="ListNote">
    <w:name w:val="List Note"/>
    <w:basedOn w:val="List"/>
    <w:rsid w:val="007E7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BB0"/>
    <w:rPr>
      <w:rFonts w:ascii="Courier New" w:hAnsi="Courier New"/>
    </w:rPr>
  </w:style>
  <w:style w:type="paragraph" w:customStyle="1" w:styleId="NoteBullet">
    <w:name w:val="Note Bullet"/>
    <w:basedOn w:val="Note"/>
    <w:rsid w:val="007E7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B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7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BB0"/>
    <w:rPr>
      <w:b/>
      <w:smallCaps/>
    </w:rPr>
  </w:style>
  <w:style w:type="paragraph" w:customStyle="1" w:styleId="TableListNumber">
    <w:name w:val="Table List Number"/>
    <w:basedOn w:val="ListNumber"/>
    <w:rsid w:val="007E7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BB0"/>
    <w:pPr>
      <w:numPr>
        <w:numId w:val="10"/>
      </w:numPr>
    </w:pPr>
  </w:style>
  <w:style w:type="paragraph" w:customStyle="1" w:styleId="ListAlpha2">
    <w:name w:val="List Alpha 2"/>
    <w:basedOn w:val="List2"/>
    <w:rsid w:val="007E7BB0"/>
    <w:pPr>
      <w:numPr>
        <w:numId w:val="9"/>
      </w:numPr>
    </w:pPr>
  </w:style>
  <w:style w:type="paragraph" w:styleId="List2">
    <w:name w:val="List 2"/>
    <w:basedOn w:val="BodyText"/>
    <w:rsid w:val="007E7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B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7B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7BB0"/>
    <w:pPr>
      <w:numPr>
        <w:numId w:val="5"/>
      </w:numPr>
    </w:pPr>
  </w:style>
  <w:style w:type="paragraph" w:styleId="ListContinue2">
    <w:name w:val="List Continue 2"/>
    <w:basedOn w:val="List2"/>
    <w:rsid w:val="007E7BB0"/>
    <w:pPr>
      <w:ind w:firstLine="0"/>
    </w:pPr>
  </w:style>
  <w:style w:type="paragraph" w:styleId="ListContinue3">
    <w:name w:val="List Continue 3"/>
    <w:basedOn w:val="List3"/>
    <w:rsid w:val="007E7BB0"/>
    <w:pPr>
      <w:ind w:left="1021" w:firstLine="0"/>
    </w:pPr>
  </w:style>
  <w:style w:type="paragraph" w:styleId="ListContinue4">
    <w:name w:val="List Continue 4"/>
    <w:basedOn w:val="List4"/>
    <w:rsid w:val="007E7BB0"/>
    <w:pPr>
      <w:ind w:firstLine="0"/>
    </w:pPr>
  </w:style>
  <w:style w:type="paragraph" w:styleId="ListContinue5">
    <w:name w:val="List Continue 5"/>
    <w:basedOn w:val="List5"/>
    <w:rsid w:val="007E7BB0"/>
    <w:pPr>
      <w:ind w:firstLine="0"/>
    </w:pPr>
  </w:style>
  <w:style w:type="paragraph" w:styleId="ListNumber3">
    <w:name w:val="List Number 3"/>
    <w:basedOn w:val="List3"/>
    <w:rsid w:val="007E7BB0"/>
    <w:pPr>
      <w:numPr>
        <w:numId w:val="6"/>
      </w:numPr>
    </w:pPr>
  </w:style>
  <w:style w:type="paragraph" w:styleId="ListNumber4">
    <w:name w:val="List Number 4"/>
    <w:basedOn w:val="List4"/>
    <w:rsid w:val="007E7BB0"/>
    <w:pPr>
      <w:numPr>
        <w:numId w:val="7"/>
      </w:numPr>
    </w:pPr>
  </w:style>
  <w:style w:type="paragraph" w:styleId="ListNumber5">
    <w:name w:val="List Number 5"/>
    <w:basedOn w:val="List5"/>
    <w:rsid w:val="007E7BB0"/>
    <w:pPr>
      <w:numPr>
        <w:numId w:val="8"/>
      </w:numPr>
    </w:pPr>
  </w:style>
  <w:style w:type="paragraph" w:styleId="BlockText">
    <w:name w:val="Block Text"/>
    <w:basedOn w:val="Normal"/>
    <w:rsid w:val="007E7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BB0"/>
    <w:rPr>
      <w:sz w:val="16"/>
      <w:vertAlign w:val="superscript"/>
    </w:rPr>
  </w:style>
  <w:style w:type="character" w:customStyle="1" w:styleId="Symbols">
    <w:name w:val="Symbols"/>
    <w:basedOn w:val="DefaultParagraphFont"/>
    <w:rsid w:val="007E7BB0"/>
    <w:rPr>
      <w:rFonts w:ascii="Symbol" w:hAnsi="Symbol"/>
    </w:rPr>
  </w:style>
  <w:style w:type="character" w:customStyle="1" w:styleId="MenuOptions">
    <w:name w:val="Menu Options"/>
    <w:basedOn w:val="DefaultParagraphFont"/>
    <w:rsid w:val="007E7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BB0"/>
    <w:rPr>
      <w:b/>
    </w:rPr>
  </w:style>
  <w:style w:type="character" w:customStyle="1" w:styleId="Underlined">
    <w:name w:val="Underlined"/>
    <w:basedOn w:val="DefaultParagraphFont"/>
    <w:rsid w:val="007E7BB0"/>
    <w:rPr>
      <w:u w:val="single"/>
    </w:rPr>
  </w:style>
  <w:style w:type="paragraph" w:customStyle="1" w:styleId="TableBodyTextRight">
    <w:name w:val="Table Body Text Right"/>
    <w:basedOn w:val="TableBodyText"/>
    <w:rsid w:val="007E7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BB0"/>
    <w:rPr>
      <w:sz w:val="18"/>
    </w:rPr>
  </w:style>
  <w:style w:type="paragraph" w:customStyle="1" w:styleId="BodySmallRight">
    <w:name w:val="Body Small Right"/>
    <w:basedOn w:val="BodyTextRight"/>
    <w:rsid w:val="007E7BB0"/>
    <w:rPr>
      <w:sz w:val="18"/>
      <w:szCs w:val="18"/>
    </w:rPr>
  </w:style>
  <w:style w:type="paragraph" w:customStyle="1" w:styleId="MarginEdition">
    <w:name w:val="Margin Edition"/>
    <w:basedOn w:val="MarginNote"/>
    <w:rsid w:val="007E7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BB0"/>
    <w:rPr>
      <w:sz w:val="2"/>
      <w:szCs w:val="2"/>
    </w:rPr>
  </w:style>
  <w:style w:type="character" w:customStyle="1" w:styleId="Small">
    <w:name w:val="Small"/>
    <w:basedOn w:val="DefaultParagraphFont"/>
    <w:rsid w:val="007E7BB0"/>
    <w:rPr>
      <w:sz w:val="16"/>
    </w:rPr>
  </w:style>
  <w:style w:type="paragraph" w:customStyle="1" w:styleId="WideTable">
    <w:name w:val="Wide Table"/>
    <w:basedOn w:val="Normal"/>
    <w:rsid w:val="007E7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BB0"/>
  </w:style>
  <w:style w:type="paragraph" w:styleId="Quote">
    <w:name w:val="Quote"/>
    <w:basedOn w:val="Heading1"/>
    <w:link w:val="QuoteChar"/>
    <w:qFormat/>
    <w:rsid w:val="007E7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BB0"/>
    <w:pPr>
      <w:pageBreakBefore/>
    </w:pPr>
  </w:style>
  <w:style w:type="paragraph" w:customStyle="1" w:styleId="Border">
    <w:name w:val="Border"/>
    <w:basedOn w:val="Normal"/>
    <w:qFormat/>
    <w:rsid w:val="007E7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BB0"/>
    <w:rPr>
      <w:u w:val="single"/>
    </w:rPr>
  </w:style>
  <w:style w:type="character" w:customStyle="1" w:styleId="BoldandItalics">
    <w:name w:val="Bold and Italics"/>
    <w:qFormat/>
    <w:rsid w:val="007E7BB0"/>
    <w:rPr>
      <w:b/>
      <w:i/>
      <w:u w:val="none"/>
    </w:rPr>
  </w:style>
  <w:style w:type="paragraph" w:styleId="BalloonText">
    <w:name w:val="Balloon Text"/>
    <w:basedOn w:val="Normal"/>
    <w:link w:val="BalloonTextChar"/>
    <w:rsid w:val="007E7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BB0"/>
    <w:pPr>
      <w:spacing w:before="0" w:after="0"/>
    </w:pPr>
  </w:style>
  <w:style w:type="paragraph" w:customStyle="1" w:styleId="BodyTextBold">
    <w:name w:val="Body Text Bold"/>
    <w:basedOn w:val="BodyText"/>
    <w:qFormat/>
    <w:rsid w:val="007E7BB0"/>
    <w:rPr>
      <w:b/>
    </w:rPr>
  </w:style>
  <w:style w:type="character" w:styleId="Hyperlink">
    <w:name w:val="Hyperlink"/>
    <w:basedOn w:val="DefaultParagraphFont"/>
    <w:uiPriority w:val="99"/>
    <w:unhideWhenUsed/>
    <w:rsid w:val="006A7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2878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CPPACC5004 Apply building codes and standards to accessible large-scale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