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AA9" w:rsidP="00DD0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CPPACC5002 Inspect access compliance during the building process</w:t>
      </w:r>
      <w:r>
        <w:fldChar w:fldCharType="end"/>
      </w:r>
    </w:p>
    <w:p w:rsidR="00DD0AA9" w:rsidP="00DD0AA9">
      <w:pPr>
        <w:pStyle w:val="Version"/>
        <w:sectPr w:rsidSect="008D6E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E2E" w:rsidP="008D6E2E">
      <w:pPr>
        <w:pStyle w:val="SuperHeading"/>
      </w:pPr>
      <w:r w:rsidRPr="008D6E2E">
        <w:t>CPPACC5002 Inspect access compliance during the building process</w:t>
      </w:r>
    </w:p>
    <w:p w:rsidR="00000000" w:rsidRPr="008D6E2E" w:rsidP="008D6E2E">
      <w:pPr>
        <w:pStyle w:val="Heading1"/>
      </w:pPr>
      <w:bookmarkStart w:id="1" w:name="O_1172698"/>
      <w:bookmarkEnd w:id="1"/>
      <w:r w:rsidRPr="008D6E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39"/>
      </w:tblGrid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Release 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E2E" w:rsidP="008D6E2E">
            <w:pPr>
              <w:pStyle w:val="BodyText"/>
            </w:pPr>
            <w:r w:rsidRPr="008D6E2E">
              <w:t>This unit first released with CPP Property Services Training Package Release 14.0.</w:t>
            </w:r>
          </w:p>
          <w:p w:rsidR="00000000" w:rsidRPr="008D6E2E" w:rsidP="008D6E2E">
            <w:pPr>
              <w:pStyle w:val="BodyText"/>
            </w:pPr>
            <w:r w:rsidRPr="008D6E2E">
              <w:t>Supersedes and is equival</w:t>
            </w:r>
            <w:r w:rsidRPr="008D6E2E">
              <w:t>ent to CPPACC5002A Inspect access compliance during the building process.</w:t>
            </w:r>
          </w:p>
          <w:p w:rsidR="00000000" w:rsidRPr="008D6E2E" w:rsidP="008D6E2E">
            <w:pPr>
              <w:pStyle w:val="BodyText"/>
            </w:pPr>
            <w:r w:rsidRPr="008D6E2E">
              <w:t xml:space="preserve">Unit updated to meet the Standards for Training Packages 2012. </w:t>
            </w:r>
          </w:p>
        </w:tc>
      </w:tr>
    </w:tbl>
    <w:p w:rsidR="00000000" w:rsidRPr="008D6E2E" w:rsidP="008D6E2E">
      <w:pPr>
        <w:pStyle w:val="BodyText"/>
      </w:pPr>
    </w:p>
    <w:p w:rsidR="00000000" w:rsidRPr="008D6E2E" w:rsidP="008D6E2E">
      <w:pPr>
        <w:pStyle w:val="AllowPageBreak"/>
      </w:pPr>
    </w:p>
    <w:p w:rsidR="00000000" w:rsidRPr="008D6E2E" w:rsidP="008D6E2E">
      <w:pPr>
        <w:pStyle w:val="Heading1"/>
      </w:pPr>
      <w:bookmarkStart w:id="2" w:name="O_1172704"/>
      <w:bookmarkEnd w:id="2"/>
      <w:r w:rsidRPr="008D6E2E">
        <w:t>Application</w:t>
      </w:r>
    </w:p>
    <w:p w:rsidR="00000000" w:rsidRPr="008D6E2E" w:rsidP="00DD0AA9">
      <w:pPr>
        <w:pStyle w:val="BodyText"/>
      </w:pPr>
      <w:r w:rsidRPr="008D6E2E">
        <w:t>This unit of competency specifies the skills and knowledge required to inspect buildi</w:t>
      </w:r>
      <w:r w:rsidRPr="008D6E2E">
        <w:t>ng work at various stages of the building process for compliance with building access legislation. It includes conducting progressive inspections and preparing reports detailing regulatory compliant and non-compliant building work and services.</w:t>
      </w:r>
    </w:p>
    <w:p w:rsidR="00000000" w:rsidRPr="008D6E2E" w:rsidP="00DD0AA9">
      <w:pPr>
        <w:pStyle w:val="BodyText"/>
      </w:pPr>
      <w:r w:rsidRPr="008D6E2E">
        <w:t>This unit i</w:t>
      </w:r>
      <w:r w:rsidRPr="008D6E2E">
        <w:t>s for individuals who are self-directed and have substantial depth of knowledge and skills to make independent judgements in the provision of access consulting services.</w:t>
      </w:r>
    </w:p>
    <w:p w:rsidR="00000000" w:rsidRPr="008D6E2E" w:rsidP="00DD0AA9">
      <w:pPr>
        <w:pStyle w:val="BodyText"/>
      </w:pPr>
      <w:r w:rsidRPr="008D6E2E">
        <w:t>No licensing, legislative or certification requirements apply to this unit at the time</w:t>
      </w:r>
      <w:r w:rsidRPr="008D6E2E">
        <w:t xml:space="preserve"> of publication.</w:t>
      </w:r>
    </w:p>
    <w:p w:rsidR="00000000" w:rsidRPr="008D6E2E" w:rsidP="008D6E2E">
      <w:pPr>
        <w:pStyle w:val="Heading1"/>
      </w:pPr>
      <w:bookmarkStart w:id="3" w:name="O_1172703"/>
      <w:bookmarkEnd w:id="3"/>
      <w:r w:rsidRPr="008D6E2E">
        <w:t>Pre-requisite Unit</w:t>
      </w:r>
    </w:p>
    <w:p w:rsidR="00000000" w:rsidRPr="008D6E2E" w:rsidP="00DD0AA9">
      <w:pPr>
        <w:pStyle w:val="BodyText"/>
      </w:pPr>
      <w:r w:rsidRPr="008D6E2E">
        <w:t>Nil.</w:t>
      </w:r>
    </w:p>
    <w:p w:rsidR="00000000" w:rsidRPr="008D6E2E" w:rsidP="008D6E2E">
      <w:pPr>
        <w:pStyle w:val="Heading1"/>
      </w:pPr>
      <w:bookmarkStart w:id="4" w:name="O_1172702"/>
      <w:bookmarkEnd w:id="4"/>
      <w:r w:rsidRPr="008D6E2E">
        <w:t>Unit Sector</w:t>
      </w:r>
    </w:p>
    <w:p w:rsidR="00000000" w:rsidRPr="008D6E2E" w:rsidP="00DD0AA9">
      <w:pPr>
        <w:pStyle w:val="BodyText"/>
      </w:pPr>
      <w:r w:rsidRPr="008D6E2E">
        <w:t>Access Consulting.</w:t>
      </w:r>
    </w:p>
    <w:p w:rsidR="00000000" w:rsidRPr="008D6E2E" w:rsidP="008D6E2E">
      <w:pPr>
        <w:pStyle w:val="Heading1"/>
      </w:pPr>
      <w:bookmarkStart w:id="5" w:name="O_1172701"/>
      <w:bookmarkEnd w:id="5"/>
      <w:r w:rsidRPr="008D6E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Performance criteria describe what needs to be done to demonstrate achievement of the element.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Inspect building work and services at various stages of the building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Evaluate plans, specifications and detail drawings for building work and se</w:t>
            </w:r>
            <w:r w:rsidRPr="008D6E2E">
              <w:t>rvices to determine compliance with regulatory requirements for access.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 xml:space="preserve">Conduct progressive inspections of building work during </w:t>
            </w:r>
            <w:r w:rsidRPr="008D6E2E">
              <w:t xml:space="preserve">construction to check compliance with regulatory requirements for access and document outcomes according </w:t>
            </w:r>
            <w:r w:rsidRPr="008D6E2E">
              <w:t>to workplace requirements.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Inspect building services to check compliance with regulatory requirements for access and document outcomes according to workplace requirements.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Assess inspection results and process findings promptly to meet contra</w:t>
            </w:r>
            <w:r w:rsidRPr="008D6E2E">
              <w:t>ctual and workplace requirements.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Determine regulatory compliance of access provisions.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 xml:space="preserve">Prepare progress reports including full explanations of non-compliant building work or services and required remedial actions promptly for client according </w:t>
            </w:r>
            <w:r w:rsidRPr="008D6E2E">
              <w:t>to workplace requirements.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Negotiate with relevant persons to resolve access non-compliances to meet regulatory and workplace requirements.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Conduct follow-up inspections to check rectifications without disrupting building progress.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Meet with client and building development team members to discuss access compliance of building work and services and record the outcomes according to workplace requirements.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Inspect and document outcomes of rectification work and report to client a</w:t>
            </w:r>
            <w:r w:rsidRPr="008D6E2E">
              <w:t>ccording to contractual and workplace requirements.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Report on building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Prepare final building access report for client prior to occupancy and to meet contractual and workplace requirements.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Forward building access report and associated documentation to client according to contractual arrangements.</w:t>
            </w:r>
          </w:p>
        </w:tc>
      </w:tr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E2E" w:rsidP="008D6E2E">
            <w:pPr>
              <w:pStyle w:val="BodyText"/>
            </w:pPr>
            <w:r w:rsidRPr="008D6E2E">
              <w:t>Maintain copies of building access report and associated documentation for future reference according to regulatory and workplace requirements.</w:t>
            </w:r>
          </w:p>
        </w:tc>
      </w:tr>
    </w:tbl>
    <w:p w:rsidR="00000000" w:rsidRPr="008D6E2E" w:rsidP="008D6E2E">
      <w:pPr>
        <w:pStyle w:val="BodyText"/>
      </w:pPr>
    </w:p>
    <w:p w:rsidR="00000000" w:rsidRPr="008D6E2E" w:rsidP="008D6E2E">
      <w:pPr>
        <w:pStyle w:val="AllowPageBreak"/>
      </w:pPr>
    </w:p>
    <w:p w:rsidR="00000000" w:rsidRPr="008D6E2E" w:rsidP="008D6E2E">
      <w:pPr>
        <w:pStyle w:val="Heading1"/>
      </w:pPr>
      <w:bookmarkStart w:id="6" w:name="O_1172700"/>
      <w:bookmarkEnd w:id="6"/>
      <w:r w:rsidRPr="008D6E2E">
        <w:t>Foundation Skills</w:t>
      </w:r>
    </w:p>
    <w:p w:rsidR="00000000" w:rsidRPr="008D6E2E" w:rsidP="00DD0AA9">
      <w:pPr>
        <w:pStyle w:val="BodyText"/>
      </w:pPr>
      <w:r w:rsidRPr="008D6E2E">
        <w:t>Foundation skills essential to performance are explicit in the performanc</w:t>
      </w:r>
      <w:r w:rsidRPr="008D6E2E">
        <w:t>e criteria of this unit of competency.</w:t>
      </w:r>
    </w:p>
    <w:p w:rsidR="00000000" w:rsidRPr="008D6E2E" w:rsidP="008D6E2E">
      <w:pPr>
        <w:pStyle w:val="Heading1"/>
      </w:pPr>
      <w:bookmarkStart w:id="7" w:name="O_1172699"/>
      <w:bookmarkEnd w:id="7"/>
      <w:r w:rsidRPr="008D6E2E">
        <w:t>Unit Mapping Information</w:t>
      </w:r>
    </w:p>
    <w:p w:rsidR="00000000" w:rsidRPr="008D6E2E" w:rsidP="00DD0AA9">
      <w:pPr>
        <w:pStyle w:val="BodyText"/>
      </w:pPr>
      <w:r w:rsidRPr="008D6E2E">
        <w:t>Supersedes and is equivalent to CPPACC5002A Inspect access compliance during the building process.</w:t>
      </w:r>
    </w:p>
    <w:p w:rsidR="00000000" w:rsidRPr="008D6E2E" w:rsidP="008D6E2E">
      <w:pPr>
        <w:pStyle w:val="Heading1"/>
      </w:pPr>
      <w:bookmarkStart w:id="8" w:name="O_1172692"/>
      <w:bookmarkEnd w:id="8"/>
      <w:r w:rsidRPr="008D6E2E">
        <w:t>Links</w:t>
      </w:r>
    </w:p>
    <w:p w:rsidR="00000000" w:rsidRPr="008D6E2E" w:rsidP="00DD0AA9">
      <w:pPr>
        <w:pStyle w:val="BodyText"/>
      </w:pPr>
      <w:r w:rsidRPr="008D6E2E">
        <w:t>Companion volumes to this training package are av</w:t>
      </w:r>
      <w:r w:rsidRPr="008D6E2E">
        <w:t xml:space="preserve">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40F3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6E2E" w:rsidP="00DD0AA9">
      <w:pPr>
        <w:pStyle w:val="BodyText"/>
        <w:sectPr w:rsidSect="008D6E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6E2E" w:rsidP="008D6E2E">
      <w:pPr>
        <w:pStyle w:val="SuperHeading"/>
      </w:pPr>
      <w:r w:rsidRPr="008D6E2E">
        <w:t>Assessment Requirements for CPPACC5002 Inspect access compliance during the building process</w:t>
      </w:r>
    </w:p>
    <w:p w:rsidR="00000000" w:rsidRPr="008D6E2E" w:rsidP="008D6E2E">
      <w:pPr>
        <w:pStyle w:val="Heading1"/>
      </w:pPr>
      <w:bookmarkStart w:id="9" w:name="O_1172694"/>
      <w:bookmarkEnd w:id="9"/>
      <w:r w:rsidRPr="008D6E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39"/>
      </w:tblGrid>
      <w:tr w:rsidTr="008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2E">
            <w:pPr>
              <w:pStyle w:val="BodyText"/>
              <w:rPr>
                <w:lang w:val="en-NZ"/>
              </w:rPr>
            </w:pPr>
            <w:r w:rsidRPr="008D6E2E">
              <w:t>Release 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E2E" w:rsidP="008D6E2E">
            <w:pPr>
              <w:pStyle w:val="BodyText"/>
            </w:pPr>
            <w:r w:rsidRPr="008D6E2E">
              <w:t>This unit first released with CPP Property Services Training Package Release 14.0.</w:t>
            </w:r>
          </w:p>
          <w:p w:rsidR="00000000" w:rsidRPr="008D6E2E" w:rsidP="008D6E2E">
            <w:pPr>
              <w:pStyle w:val="BodyText"/>
            </w:pPr>
            <w:r w:rsidRPr="008D6E2E">
              <w:t>Supersedes and is equivalent to CPPACC5002A Inspect access compliance during the building process.</w:t>
            </w:r>
          </w:p>
          <w:p w:rsidR="00000000" w:rsidRPr="008D6E2E" w:rsidP="008D6E2E">
            <w:pPr>
              <w:pStyle w:val="BodyText"/>
            </w:pPr>
            <w:r w:rsidRPr="008D6E2E">
              <w:t xml:space="preserve">Unit updated to meet the Standards for Training Packages 2012. </w:t>
            </w:r>
          </w:p>
        </w:tc>
      </w:tr>
    </w:tbl>
    <w:p w:rsidR="00000000" w:rsidRPr="008D6E2E" w:rsidP="008D6E2E">
      <w:pPr>
        <w:pStyle w:val="BodyText"/>
      </w:pPr>
    </w:p>
    <w:p w:rsidR="00000000" w:rsidRPr="008D6E2E" w:rsidP="008D6E2E">
      <w:pPr>
        <w:pStyle w:val="AllowPageBreak"/>
      </w:pPr>
    </w:p>
    <w:p w:rsidR="00000000" w:rsidRPr="008D6E2E" w:rsidP="008D6E2E">
      <w:pPr>
        <w:pStyle w:val="Heading1"/>
      </w:pPr>
      <w:bookmarkStart w:id="10" w:name="O_1172697"/>
      <w:bookmarkEnd w:id="10"/>
      <w:r w:rsidRPr="008D6E2E">
        <w:t>Performance Evidence</w:t>
      </w:r>
    </w:p>
    <w:p w:rsidR="00000000" w:rsidRPr="008D6E2E" w:rsidP="00DD0AA9">
      <w:pPr>
        <w:pStyle w:val="BodyText"/>
      </w:pPr>
      <w:r w:rsidRPr="008D6E2E">
        <w:t>To demonstrate competency, a candidate must meet the elements and performance criteria of this unit by inspecting the access compliance of two differe</w:t>
      </w:r>
      <w:r w:rsidRPr="008D6E2E">
        <w:t>nt buildings during the construction process.</w:t>
      </w:r>
    </w:p>
    <w:p w:rsidR="00000000" w:rsidRPr="008D6E2E" w:rsidP="008D6E2E">
      <w:pPr>
        <w:pStyle w:val="Heading1"/>
      </w:pPr>
      <w:bookmarkStart w:id="11" w:name="O_1172696"/>
      <w:bookmarkEnd w:id="11"/>
      <w:r w:rsidRPr="008D6E2E">
        <w:t>Knowledge Evidence</w:t>
      </w:r>
    </w:p>
    <w:p w:rsidR="00000000" w:rsidRPr="008D6E2E" w:rsidP="00DD0AA9">
      <w:pPr>
        <w:pStyle w:val="BodyText"/>
      </w:pPr>
      <w:r w:rsidRPr="008D6E2E">
        <w:t>To be competent in this unit, a candidate must demonstrate knowledge of:</w:t>
      </w:r>
    </w:p>
    <w:p w:rsidR="00000000" w:rsidRPr="008D6E2E" w:rsidP="008D6E2E">
      <w:pPr>
        <w:pStyle w:val="ListBullet"/>
      </w:pPr>
      <w:r w:rsidRPr="008D6E2E">
        <w:t>Commonwealth, state and territory legislation, regulations, codes and standards relevant to access</w:t>
      </w:r>
      <w:r w:rsidRPr="008D6E2E">
        <w:t xml:space="preserve"> consulting activities:</w:t>
      </w:r>
    </w:p>
    <w:p w:rsidR="00000000" w:rsidRPr="008D6E2E" w:rsidP="008D6E2E">
      <w:pPr>
        <w:pStyle w:val="ListBullet2"/>
      </w:pPr>
      <w:r w:rsidRPr="008D6E2E">
        <w:t>anti-discrimination and disability discrimination</w:t>
      </w:r>
    </w:p>
    <w:p w:rsidR="00000000" w:rsidRPr="008D6E2E" w:rsidP="008D6E2E">
      <w:pPr>
        <w:pStyle w:val="ListBullet2"/>
      </w:pPr>
      <w:r w:rsidRPr="008D6E2E">
        <w:t>building control including local government regulations and by-laws</w:t>
      </w:r>
    </w:p>
    <w:p w:rsidR="00000000" w:rsidRPr="008D6E2E" w:rsidP="008D6E2E">
      <w:pPr>
        <w:pStyle w:val="ListBullet2"/>
      </w:pPr>
      <w:r w:rsidRPr="008D6E2E">
        <w:t>Disability (Access to Premises –</w:t>
      </w:r>
      <w:r w:rsidRPr="008D6E2E">
        <w:t xml:space="preserve"> Buildings) Standards 2010 under the Disability Discrimination Act 1992 (or their successors) – known as the Access to Premises Standards</w:t>
      </w:r>
    </w:p>
    <w:p w:rsidR="00000000" w:rsidRPr="008D6E2E" w:rsidP="008D6E2E">
      <w:pPr>
        <w:pStyle w:val="ListBullet2"/>
      </w:pPr>
      <w:r w:rsidRPr="008D6E2E">
        <w:t>National Construction Code (NCC) building classifications and access requirements</w:t>
      </w:r>
    </w:p>
    <w:p w:rsidR="00000000" w:rsidRPr="008D6E2E" w:rsidP="008D6E2E">
      <w:pPr>
        <w:pStyle w:val="ListBullet2"/>
      </w:pPr>
      <w:r w:rsidRPr="008D6E2E">
        <w:t>National Disability Insurance Scheme</w:t>
      </w:r>
      <w:r w:rsidRPr="008D6E2E">
        <w:t xml:space="preserve"> (NDIS) Specialist Disability Accommodation Design Standard (or its successor)</w:t>
      </w:r>
    </w:p>
    <w:p w:rsidR="00000000" w:rsidRPr="008D6E2E" w:rsidP="008D6E2E">
      <w:pPr>
        <w:pStyle w:val="ListBullet2"/>
      </w:pPr>
      <w:r w:rsidRPr="008D6E2E">
        <w:t>Livable Housing Australia Livable Housing Design Guidelines (or its successor)</w:t>
      </w:r>
    </w:p>
    <w:p w:rsidR="00000000" w:rsidRPr="008D6E2E" w:rsidP="008D6E2E">
      <w:pPr>
        <w:pStyle w:val="ListBullet2"/>
      </w:pPr>
      <w:r w:rsidRPr="008D6E2E">
        <w:t>principles of universal design</w:t>
      </w:r>
    </w:p>
    <w:p w:rsidR="00000000" w:rsidRPr="008D6E2E" w:rsidP="008D6E2E">
      <w:pPr>
        <w:pStyle w:val="ListBullet2"/>
      </w:pPr>
      <w:r w:rsidRPr="008D6E2E">
        <w:t xml:space="preserve">privacy and confidentiality </w:t>
      </w:r>
    </w:p>
    <w:p w:rsidR="00000000" w:rsidRPr="008D6E2E" w:rsidP="008D6E2E">
      <w:pPr>
        <w:pStyle w:val="ListBullet"/>
      </w:pPr>
      <w:r w:rsidRPr="008D6E2E">
        <w:t>interpersonal communication strategie</w:t>
      </w:r>
      <w:r w:rsidRPr="008D6E2E">
        <w:t>s used to effectively relate to people from a range of social, cultural and ethnic backgrounds and with a range of physical and cognitive abilities</w:t>
      </w:r>
    </w:p>
    <w:p w:rsidR="00000000" w:rsidRPr="008D6E2E" w:rsidP="008D6E2E">
      <w:pPr>
        <w:pStyle w:val="ListBullet"/>
      </w:pPr>
      <w:r w:rsidRPr="008D6E2E">
        <w:t>measurements and calculations used to determine provisions for access</w:t>
      </w:r>
    </w:p>
    <w:p w:rsidR="00000000" w:rsidRPr="008D6E2E" w:rsidP="008D6E2E">
      <w:pPr>
        <w:pStyle w:val="ListBullet"/>
      </w:pPr>
      <w:r w:rsidRPr="008D6E2E">
        <w:t>nature of building materials and effec</w:t>
      </w:r>
      <w:r w:rsidRPr="008D6E2E">
        <w:t>t of performance</w:t>
      </w:r>
    </w:p>
    <w:p w:rsidR="00000000" w:rsidRPr="008D6E2E" w:rsidP="008D6E2E">
      <w:pPr>
        <w:pStyle w:val="ListBullet"/>
      </w:pPr>
      <w:r w:rsidRPr="008D6E2E">
        <w:t>negotiation techniques</w:t>
      </w:r>
    </w:p>
    <w:p w:rsidR="00000000" w:rsidRPr="008D6E2E" w:rsidP="008D6E2E">
      <w:pPr>
        <w:pStyle w:val="ListBullet"/>
      </w:pPr>
      <w:r w:rsidRPr="008D6E2E">
        <w:t>processes for interpreting construction plans, drawings and specifications when inspecting buildings and services for access compliance</w:t>
      </w:r>
    </w:p>
    <w:p w:rsidR="00000000" w:rsidRPr="008D6E2E" w:rsidP="008D6E2E">
      <w:pPr>
        <w:pStyle w:val="ListBullet"/>
      </w:pPr>
      <w:r w:rsidRPr="008D6E2E">
        <w:t>role, responsibilities and powers of building certifiers</w:t>
      </w:r>
    </w:p>
    <w:p w:rsidR="00000000" w:rsidRPr="008D6E2E" w:rsidP="008D6E2E">
      <w:pPr>
        <w:pStyle w:val="ListBullet"/>
      </w:pPr>
      <w:r w:rsidRPr="008D6E2E">
        <w:t>stages of construction and methods for progressive inspection of building work and services to determine access compliance</w:t>
      </w:r>
    </w:p>
    <w:p w:rsidR="00000000" w:rsidRPr="008D6E2E" w:rsidP="008D6E2E">
      <w:pPr>
        <w:pStyle w:val="ListBullet"/>
      </w:pPr>
      <w:r w:rsidRPr="008D6E2E">
        <w:t>types of disability and limitations that each disability places on an individual’s ability to access the environment</w:t>
      </w:r>
    </w:p>
    <w:p w:rsidR="00000000" w:rsidRPr="008D6E2E" w:rsidP="008D6E2E">
      <w:pPr>
        <w:pStyle w:val="ListBullet"/>
      </w:pPr>
      <w:r w:rsidRPr="008D6E2E">
        <w:t>workplace requir</w:t>
      </w:r>
      <w:r w:rsidRPr="008D6E2E">
        <w:t>ements for inspecting access compliance during the building process:</w:t>
      </w:r>
    </w:p>
    <w:p w:rsidR="00000000" w:rsidRPr="008D6E2E" w:rsidP="008D6E2E">
      <w:pPr>
        <w:pStyle w:val="ListBullet2"/>
      </w:pPr>
      <w:r w:rsidRPr="008D6E2E">
        <w:t>documentation and records administration</w:t>
      </w:r>
    </w:p>
    <w:p w:rsidR="00000000" w:rsidRPr="008D6E2E" w:rsidP="008D6E2E">
      <w:pPr>
        <w:pStyle w:val="ListBullet2"/>
      </w:pPr>
      <w:r w:rsidRPr="008D6E2E">
        <w:t>format and content of:</w:t>
      </w:r>
    </w:p>
    <w:p w:rsidR="00000000" w:rsidRPr="008D6E2E" w:rsidP="008D6E2E">
      <w:pPr>
        <w:pStyle w:val="ListBullet3"/>
      </w:pPr>
      <w:r w:rsidRPr="008D6E2E">
        <w:t>client contractual arrangements</w:t>
      </w:r>
    </w:p>
    <w:p w:rsidR="00000000" w:rsidRPr="008D6E2E" w:rsidP="008D6E2E">
      <w:pPr>
        <w:pStyle w:val="ListBullet3"/>
      </w:pPr>
      <w:r w:rsidRPr="008D6E2E">
        <w:t>building access reports</w:t>
      </w:r>
    </w:p>
    <w:p w:rsidR="00000000" w:rsidRPr="008D6E2E" w:rsidP="008D6E2E">
      <w:pPr>
        <w:pStyle w:val="ListBullet2"/>
      </w:pPr>
      <w:r w:rsidRPr="008D6E2E">
        <w:t>quality</w:t>
      </w:r>
    </w:p>
    <w:p w:rsidR="00000000" w:rsidRPr="008D6E2E" w:rsidP="008D6E2E">
      <w:pPr>
        <w:pStyle w:val="ListBullet2"/>
      </w:pPr>
      <w:r w:rsidRPr="008D6E2E">
        <w:t>work health and safety (WHS) requirements for building inspections</w:t>
      </w:r>
    </w:p>
    <w:p w:rsidR="00000000" w:rsidRPr="008D6E2E" w:rsidP="008D6E2E">
      <w:pPr>
        <w:pStyle w:val="ListBullet2"/>
      </w:pPr>
      <w:r w:rsidRPr="008D6E2E">
        <w:t>work role boundaries - responsibilities, limitations and professional abilities.</w:t>
      </w:r>
    </w:p>
    <w:p w:rsidR="00000000" w:rsidRPr="008D6E2E" w:rsidP="008D6E2E">
      <w:pPr>
        <w:pStyle w:val="AllowPageBreak"/>
      </w:pPr>
    </w:p>
    <w:p w:rsidR="00000000" w:rsidRPr="008D6E2E" w:rsidP="008D6E2E">
      <w:pPr>
        <w:pStyle w:val="Heading1"/>
      </w:pPr>
      <w:bookmarkStart w:id="12" w:name="O_1172695"/>
      <w:bookmarkEnd w:id="12"/>
      <w:r w:rsidRPr="008D6E2E">
        <w:t>Assessment Conditions</w:t>
      </w:r>
    </w:p>
    <w:p w:rsidR="00000000" w:rsidRPr="008D6E2E" w:rsidP="00DD0AA9">
      <w:pPr>
        <w:pStyle w:val="BodyText"/>
      </w:pPr>
      <w:r w:rsidRPr="008D6E2E">
        <w:t>Assessors must meet the requirements for assessors contained in the</w:t>
      </w:r>
      <w:r w:rsidRPr="008D6E2E">
        <w:t xml:space="preserve"> Standards for Registered Training Organisations. </w:t>
      </w:r>
    </w:p>
    <w:p w:rsidR="00000000" w:rsidRPr="008D6E2E" w:rsidP="00DD0AA9">
      <w:pPr>
        <w:pStyle w:val="BodyText"/>
      </w:pPr>
      <w:r w:rsidRPr="008D6E2E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8D6E2E" w:rsidP="00DD0AA9">
      <w:pPr>
        <w:pStyle w:val="BodyText"/>
      </w:pPr>
      <w:r w:rsidRPr="008D6E2E">
        <w:t>Candidates must have access to documentation, information, technologies, sites and equipment required to achieve the performance criteria and performance evidence.</w:t>
      </w:r>
    </w:p>
    <w:p w:rsidR="00000000" w:rsidRPr="008D6E2E" w:rsidP="008D6E2E">
      <w:pPr>
        <w:pStyle w:val="Heading1"/>
      </w:pPr>
      <w:bookmarkStart w:id="13" w:name="O_1172693"/>
      <w:bookmarkEnd w:id="13"/>
      <w:r w:rsidRPr="008D6E2E">
        <w:t>Links</w:t>
      </w:r>
    </w:p>
    <w:p w:rsidR="00000000" w:rsidRPr="008D6E2E" w:rsidP="00DD0AA9">
      <w:pPr>
        <w:pStyle w:val="BodyText"/>
      </w:pPr>
      <w:r w:rsidRPr="008D6E2E">
        <w:t>Companion volumes to this training package are available at the VE</w:t>
      </w:r>
      <w:r w:rsidRPr="008D6E2E">
        <w:t xml:space="preserve">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40F3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6E2E" w:rsidP="008D6E2E"/>
    <w:sectPr w:rsidSect="008D6E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2E" w:rsidRPr="00DD0AA9" w:rsidP="00DD0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A9" w:rsidP="008D6E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AA9" w:rsidP="008D6E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D0AA9" w:rsidP="008D6E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2E" w:rsidP="008D6E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0AA9">
      <w:t>Approved</w:t>
    </w:r>
    <w:r w:rsidR="00DD0A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0A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0AA9">
      <w:rPr>
        <w:noProof/>
      </w:rPr>
      <w:t>4</w:t>
    </w:r>
    <w:r>
      <w:rPr>
        <w:noProof/>
      </w:rPr>
      <w:fldChar w:fldCharType="end"/>
    </w:r>
  </w:p>
  <w:p w:rsidR="008D6E2E" w:rsidP="008D6E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0A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0AA9">
      <w:t>BuildSkills Australia</w:t>
    </w:r>
    <w:r w:rsidR="00DD0AA9">
      <w:fldChar w:fldCharType="end"/>
    </w:r>
  </w:p>
  <w:p w:rsidR="008D6E2E" w:rsidP="008D6E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E2E" w:rsidRPr="00DD0AA9" w:rsidP="00DD0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A9" w:rsidRPr="002D2AF8" w:rsidP="008D6E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CPPACC5002 Inspect access compliance during the building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D0AA9" w:rsidP="008D6E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2E" w:rsidRPr="002D2AF8" w:rsidP="008D6E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0AA9">
      <w:t>CPPACC5002 Inspect access compliance during the building process</w:t>
    </w:r>
    <w:r w:rsidR="00DD0A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0AA9">
      <w:rPr>
        <w:noProof/>
      </w:rPr>
      <w:t>1 March 2025</w:t>
    </w:r>
    <w:r>
      <w:fldChar w:fldCharType="end"/>
    </w:r>
  </w:p>
  <w:p w:rsidR="008D6E2E" w:rsidP="008D6E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FCF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EAF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22E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E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E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E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E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E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E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E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E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E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E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E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E2E"/>
  </w:style>
  <w:style w:type="character" w:customStyle="1" w:styleId="Heading1Char">
    <w:name w:val="Heading 1 Char"/>
    <w:basedOn w:val="DefaultParagraphFont"/>
    <w:link w:val="Heading1"/>
    <w:rsid w:val="008D6E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E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E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E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6E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6E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E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6E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6E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E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E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E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E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E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E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E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E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E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E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E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E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E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E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E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E2E"/>
    <w:rPr>
      <w:b/>
      <w:spacing w:val="0"/>
    </w:rPr>
  </w:style>
  <w:style w:type="paragraph" w:customStyle="1" w:styleId="SuperTitle">
    <w:name w:val="SuperTitle"/>
    <w:basedOn w:val="Title"/>
    <w:rsid w:val="008D6E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E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E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E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E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E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E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E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E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E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E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E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E2E"/>
    <w:rPr>
      <w:i/>
    </w:rPr>
  </w:style>
  <w:style w:type="paragraph" w:styleId="Caption">
    <w:name w:val="caption"/>
    <w:basedOn w:val="BodyText"/>
    <w:next w:val="Normal"/>
    <w:qFormat/>
    <w:rsid w:val="008D6E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E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E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E2E"/>
  </w:style>
  <w:style w:type="paragraph" w:styleId="TableofFigures">
    <w:name w:val="table of figures"/>
    <w:basedOn w:val="Normal"/>
    <w:next w:val="Normal"/>
    <w:semiHidden/>
    <w:rsid w:val="008D6E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E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6E2E"/>
    <w:rPr>
      <w:rFonts w:ascii="Wingdings" w:hAnsi="Wingdings"/>
    </w:rPr>
  </w:style>
  <w:style w:type="paragraph" w:customStyle="1" w:styleId="TableHeading">
    <w:name w:val="Table Heading"/>
    <w:basedOn w:val="HeadingBase"/>
    <w:rsid w:val="008D6E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E2E"/>
    <w:rPr>
      <w:color w:val="0033CC"/>
      <w:u w:val="none"/>
    </w:rPr>
  </w:style>
  <w:style w:type="paragraph" w:customStyle="1" w:styleId="BodyTextRight">
    <w:name w:val="Body Text Right"/>
    <w:basedOn w:val="BodyText"/>
    <w:rsid w:val="008D6E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E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E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E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E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E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E2E"/>
    <w:rPr>
      <w:sz w:val="32"/>
    </w:rPr>
  </w:style>
  <w:style w:type="paragraph" w:customStyle="1" w:styleId="HeadingProcedure">
    <w:name w:val="Heading Procedure"/>
    <w:basedOn w:val="HeadingBase"/>
    <w:next w:val="Normal"/>
    <w:rsid w:val="008D6E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E2E"/>
    <w:pPr>
      <w:spacing w:before="60" w:after="60"/>
    </w:pPr>
  </w:style>
  <w:style w:type="paragraph" w:styleId="ListContinue">
    <w:name w:val="List Continue"/>
    <w:basedOn w:val="List"/>
    <w:rsid w:val="008D6E2E"/>
    <w:pPr>
      <w:ind w:firstLine="0"/>
    </w:pPr>
  </w:style>
  <w:style w:type="paragraph" w:customStyle="1" w:styleId="ListNote">
    <w:name w:val="List Note"/>
    <w:basedOn w:val="List"/>
    <w:rsid w:val="008D6E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E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E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E2E"/>
    <w:rPr>
      <w:rFonts w:ascii="Courier New" w:hAnsi="Courier New"/>
    </w:rPr>
  </w:style>
  <w:style w:type="paragraph" w:customStyle="1" w:styleId="NoteBullet">
    <w:name w:val="Note Bullet"/>
    <w:basedOn w:val="Note"/>
    <w:rsid w:val="008D6E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E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E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E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E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6E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E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E2E"/>
    <w:rPr>
      <w:b/>
      <w:smallCaps/>
    </w:rPr>
  </w:style>
  <w:style w:type="paragraph" w:customStyle="1" w:styleId="TableListNumber">
    <w:name w:val="Table List Number"/>
    <w:basedOn w:val="ListNumber"/>
    <w:rsid w:val="008D6E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E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E2E"/>
    <w:pPr>
      <w:numPr>
        <w:numId w:val="10"/>
      </w:numPr>
    </w:pPr>
  </w:style>
  <w:style w:type="paragraph" w:customStyle="1" w:styleId="ListAlpha2">
    <w:name w:val="List Alpha 2"/>
    <w:basedOn w:val="List2"/>
    <w:rsid w:val="008D6E2E"/>
    <w:pPr>
      <w:numPr>
        <w:numId w:val="9"/>
      </w:numPr>
    </w:pPr>
  </w:style>
  <w:style w:type="paragraph" w:styleId="List2">
    <w:name w:val="List 2"/>
    <w:basedOn w:val="BodyText"/>
    <w:rsid w:val="008D6E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E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E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E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6E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6E2E"/>
    <w:pPr>
      <w:numPr>
        <w:numId w:val="5"/>
      </w:numPr>
    </w:pPr>
  </w:style>
  <w:style w:type="paragraph" w:styleId="ListContinue2">
    <w:name w:val="List Continue 2"/>
    <w:basedOn w:val="List2"/>
    <w:rsid w:val="008D6E2E"/>
    <w:pPr>
      <w:ind w:firstLine="0"/>
    </w:pPr>
  </w:style>
  <w:style w:type="paragraph" w:styleId="ListContinue3">
    <w:name w:val="List Continue 3"/>
    <w:basedOn w:val="List3"/>
    <w:rsid w:val="008D6E2E"/>
    <w:pPr>
      <w:ind w:left="1021" w:firstLine="0"/>
    </w:pPr>
  </w:style>
  <w:style w:type="paragraph" w:styleId="ListContinue4">
    <w:name w:val="List Continue 4"/>
    <w:basedOn w:val="List4"/>
    <w:rsid w:val="008D6E2E"/>
    <w:pPr>
      <w:ind w:firstLine="0"/>
    </w:pPr>
  </w:style>
  <w:style w:type="paragraph" w:styleId="ListContinue5">
    <w:name w:val="List Continue 5"/>
    <w:basedOn w:val="List5"/>
    <w:rsid w:val="008D6E2E"/>
    <w:pPr>
      <w:ind w:firstLine="0"/>
    </w:pPr>
  </w:style>
  <w:style w:type="paragraph" w:styleId="ListNumber3">
    <w:name w:val="List Number 3"/>
    <w:basedOn w:val="List3"/>
    <w:rsid w:val="008D6E2E"/>
    <w:pPr>
      <w:numPr>
        <w:numId w:val="6"/>
      </w:numPr>
    </w:pPr>
  </w:style>
  <w:style w:type="paragraph" w:styleId="ListNumber4">
    <w:name w:val="List Number 4"/>
    <w:basedOn w:val="List4"/>
    <w:rsid w:val="008D6E2E"/>
    <w:pPr>
      <w:numPr>
        <w:numId w:val="7"/>
      </w:numPr>
    </w:pPr>
  </w:style>
  <w:style w:type="paragraph" w:styleId="ListNumber5">
    <w:name w:val="List Number 5"/>
    <w:basedOn w:val="List5"/>
    <w:rsid w:val="008D6E2E"/>
    <w:pPr>
      <w:numPr>
        <w:numId w:val="8"/>
      </w:numPr>
    </w:pPr>
  </w:style>
  <w:style w:type="paragraph" w:styleId="BlockText">
    <w:name w:val="Block Text"/>
    <w:basedOn w:val="Normal"/>
    <w:rsid w:val="008D6E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E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E2E"/>
    <w:rPr>
      <w:sz w:val="16"/>
      <w:vertAlign w:val="superscript"/>
    </w:rPr>
  </w:style>
  <w:style w:type="character" w:customStyle="1" w:styleId="Symbols">
    <w:name w:val="Symbols"/>
    <w:basedOn w:val="DefaultParagraphFont"/>
    <w:rsid w:val="008D6E2E"/>
    <w:rPr>
      <w:rFonts w:ascii="Symbol" w:hAnsi="Symbol"/>
    </w:rPr>
  </w:style>
  <w:style w:type="character" w:customStyle="1" w:styleId="MenuOptions">
    <w:name w:val="Menu Options"/>
    <w:basedOn w:val="DefaultParagraphFont"/>
    <w:rsid w:val="008D6E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E2E"/>
    <w:rPr>
      <w:b/>
    </w:rPr>
  </w:style>
  <w:style w:type="character" w:customStyle="1" w:styleId="Underlined">
    <w:name w:val="Underlined"/>
    <w:basedOn w:val="DefaultParagraphFont"/>
    <w:rsid w:val="008D6E2E"/>
    <w:rPr>
      <w:u w:val="single"/>
    </w:rPr>
  </w:style>
  <w:style w:type="paragraph" w:customStyle="1" w:styleId="TableBodyTextRight">
    <w:name w:val="Table Body Text Right"/>
    <w:basedOn w:val="TableBodyText"/>
    <w:rsid w:val="008D6E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E2E"/>
    <w:rPr>
      <w:sz w:val="18"/>
    </w:rPr>
  </w:style>
  <w:style w:type="paragraph" w:customStyle="1" w:styleId="BodySmallRight">
    <w:name w:val="Body Small Right"/>
    <w:basedOn w:val="BodyTextRight"/>
    <w:rsid w:val="008D6E2E"/>
    <w:rPr>
      <w:sz w:val="18"/>
      <w:szCs w:val="18"/>
    </w:rPr>
  </w:style>
  <w:style w:type="paragraph" w:customStyle="1" w:styleId="MarginEdition">
    <w:name w:val="Margin Edition"/>
    <w:basedOn w:val="MarginNote"/>
    <w:rsid w:val="008D6E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E2E"/>
    <w:rPr>
      <w:sz w:val="2"/>
      <w:szCs w:val="2"/>
    </w:rPr>
  </w:style>
  <w:style w:type="character" w:customStyle="1" w:styleId="Small">
    <w:name w:val="Small"/>
    <w:basedOn w:val="DefaultParagraphFont"/>
    <w:rsid w:val="008D6E2E"/>
    <w:rPr>
      <w:sz w:val="16"/>
    </w:rPr>
  </w:style>
  <w:style w:type="paragraph" w:customStyle="1" w:styleId="WideTable">
    <w:name w:val="Wide Table"/>
    <w:basedOn w:val="Normal"/>
    <w:rsid w:val="008D6E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E2E"/>
  </w:style>
  <w:style w:type="paragraph" w:styleId="Quote">
    <w:name w:val="Quote"/>
    <w:basedOn w:val="Heading1"/>
    <w:link w:val="QuoteChar"/>
    <w:qFormat/>
    <w:rsid w:val="008D6E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E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E2E"/>
    <w:pPr>
      <w:pageBreakBefore/>
    </w:pPr>
  </w:style>
  <w:style w:type="paragraph" w:customStyle="1" w:styleId="Border">
    <w:name w:val="Border"/>
    <w:basedOn w:val="Normal"/>
    <w:qFormat/>
    <w:rsid w:val="008D6E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E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E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E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E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E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E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E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E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E2E"/>
    <w:rPr>
      <w:u w:val="single"/>
    </w:rPr>
  </w:style>
  <w:style w:type="character" w:customStyle="1" w:styleId="BoldandItalics">
    <w:name w:val="Bold and Italics"/>
    <w:qFormat/>
    <w:rsid w:val="008D6E2E"/>
    <w:rPr>
      <w:b/>
      <w:i/>
      <w:u w:val="none"/>
    </w:rPr>
  </w:style>
  <w:style w:type="paragraph" w:styleId="BalloonText">
    <w:name w:val="Balloon Text"/>
    <w:basedOn w:val="Normal"/>
    <w:link w:val="BalloonTextChar"/>
    <w:rsid w:val="008D6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E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E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E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E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E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E2E"/>
    <w:pPr>
      <w:spacing w:before="0" w:after="0"/>
    </w:pPr>
  </w:style>
  <w:style w:type="paragraph" w:customStyle="1" w:styleId="BodyTextBold">
    <w:name w:val="Body Text Bold"/>
    <w:basedOn w:val="BodyText"/>
    <w:qFormat/>
    <w:rsid w:val="008D6E2E"/>
    <w:rPr>
      <w:b/>
    </w:rPr>
  </w:style>
  <w:style w:type="character" w:styleId="Hyperlink">
    <w:name w:val="Hyperlink"/>
    <w:basedOn w:val="DefaultParagraphFont"/>
    <w:uiPriority w:val="99"/>
    <w:unhideWhenUsed/>
    <w:rsid w:val="00DD0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6193</Characters>
  <Application>Microsoft Office Word</Application>
  <DocSecurity>0</DocSecurity>
  <Lines>206</Lines>
  <Paragraphs>114</Paragraphs>
  <ScaleCrop>false</ScaleCrop>
  <Company>Author-it Software Corporation Ltd.</Company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CPPACC5002 Inspect access compliance during the building process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