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0A20" w:rsidP="00660A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CPPACC5002 Inspect access compliance during the building process</w:t>
      </w:r>
      <w:r>
        <w:fldChar w:fldCharType="end"/>
      </w:r>
    </w:p>
    <w:p w:rsidR="00660A20" w:rsidP="00660A20">
      <w:pPr>
        <w:pStyle w:val="Version"/>
        <w:sectPr w:rsidSect="00442A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2A1F" w:rsidP="00442A1F">
      <w:pPr>
        <w:pStyle w:val="SuperHeading"/>
      </w:pPr>
      <w:r w:rsidRPr="00442A1F">
        <w:t>Assessment Requirements for CPPACC5002 Inspect access compliance during the building process</w:t>
      </w:r>
    </w:p>
    <w:p w:rsidR="00000000" w:rsidRPr="00442A1F" w:rsidP="00442A1F">
      <w:pPr>
        <w:pStyle w:val="Heading1"/>
      </w:pPr>
      <w:bookmarkStart w:id="1" w:name="O_1172694"/>
      <w:bookmarkEnd w:id="1"/>
      <w:r w:rsidRPr="00442A1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3"/>
        <w:gridCol w:w="7739"/>
      </w:tblGrid>
      <w:tr w:rsidTr="00442A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A1F">
            <w:pPr>
              <w:pStyle w:val="BodyText"/>
              <w:rPr>
                <w:lang w:val="en-NZ"/>
              </w:rPr>
            </w:pPr>
            <w:r w:rsidRPr="00442A1F">
              <w:t>Release 1</w:t>
            </w:r>
          </w:p>
        </w:tc>
        <w:tc>
          <w:tcPr>
            <w:tcW w:w="7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A1F" w:rsidP="00442A1F">
            <w:pPr>
              <w:pStyle w:val="BodyText"/>
            </w:pPr>
            <w:r w:rsidRPr="00442A1F">
              <w:t>This unit first released with CPP Property Services Training Package Release 14.0.</w:t>
            </w:r>
          </w:p>
          <w:p w:rsidR="00000000" w:rsidRPr="00442A1F" w:rsidP="00442A1F">
            <w:pPr>
              <w:pStyle w:val="BodyText"/>
            </w:pPr>
            <w:r w:rsidRPr="00442A1F">
              <w:t>Supersedes and is equivalent to CPPACC5002A Inspect access compliance during the building process.</w:t>
            </w:r>
          </w:p>
          <w:p w:rsidR="00000000" w:rsidRPr="00442A1F" w:rsidP="00442A1F">
            <w:pPr>
              <w:pStyle w:val="BodyText"/>
            </w:pPr>
            <w:r w:rsidRPr="00442A1F">
              <w:t xml:space="preserve">Unit updated to meet the Standards for Training Packages 2012. </w:t>
            </w:r>
          </w:p>
        </w:tc>
      </w:tr>
    </w:tbl>
    <w:p w:rsidR="00000000" w:rsidRPr="00442A1F" w:rsidP="00442A1F">
      <w:pPr>
        <w:pStyle w:val="BodyText"/>
      </w:pPr>
    </w:p>
    <w:p w:rsidR="00000000" w:rsidRPr="00442A1F" w:rsidP="00442A1F">
      <w:pPr>
        <w:pStyle w:val="AllowPageBreak"/>
      </w:pPr>
    </w:p>
    <w:p w:rsidR="00000000" w:rsidRPr="00442A1F" w:rsidP="00442A1F">
      <w:pPr>
        <w:pStyle w:val="Heading1"/>
      </w:pPr>
      <w:bookmarkStart w:id="2" w:name="O_1172697"/>
      <w:bookmarkEnd w:id="2"/>
      <w:r w:rsidRPr="00442A1F">
        <w:t>Performance Evidence</w:t>
      </w:r>
    </w:p>
    <w:p w:rsidR="00000000" w:rsidRPr="00442A1F" w:rsidP="00660A20">
      <w:pPr>
        <w:pStyle w:val="BodyText"/>
      </w:pPr>
      <w:r w:rsidRPr="00442A1F">
        <w:t>To demonstrate competency, a candidate must meet th</w:t>
      </w:r>
      <w:r w:rsidRPr="00442A1F">
        <w:t>e elements and performance criteria of this unit by inspecting the access compliance of two different buildings during the construction process.</w:t>
      </w:r>
    </w:p>
    <w:p w:rsidR="00000000" w:rsidRPr="00442A1F" w:rsidP="00442A1F">
      <w:pPr>
        <w:pStyle w:val="Heading1"/>
      </w:pPr>
      <w:bookmarkStart w:id="3" w:name="O_1172696"/>
      <w:bookmarkEnd w:id="3"/>
      <w:r w:rsidRPr="00442A1F">
        <w:t>Knowledge Evidence</w:t>
      </w:r>
    </w:p>
    <w:p w:rsidR="00000000" w:rsidRPr="00442A1F" w:rsidP="00660A20">
      <w:pPr>
        <w:pStyle w:val="BodyText"/>
      </w:pPr>
      <w:r w:rsidRPr="00442A1F">
        <w:t>To be competent in this unit, a candidate must demonstrate knowledge of:</w:t>
      </w:r>
    </w:p>
    <w:p w:rsidR="00000000" w:rsidRPr="00442A1F" w:rsidP="00442A1F">
      <w:pPr>
        <w:pStyle w:val="ListBullet"/>
      </w:pPr>
      <w:r w:rsidRPr="00442A1F">
        <w:t>Commonwealth, state and territory legislation, regulations, codes and standards relevant to access consulting activities:</w:t>
      </w:r>
    </w:p>
    <w:p w:rsidR="00000000" w:rsidRPr="00442A1F" w:rsidP="00442A1F">
      <w:pPr>
        <w:pStyle w:val="ListBullet2"/>
      </w:pPr>
      <w:r w:rsidRPr="00442A1F">
        <w:t>anti-discrimination and disability discrimination</w:t>
      </w:r>
    </w:p>
    <w:p w:rsidR="00000000" w:rsidRPr="00442A1F" w:rsidP="00442A1F">
      <w:pPr>
        <w:pStyle w:val="ListBullet2"/>
      </w:pPr>
      <w:r w:rsidRPr="00442A1F">
        <w:t>building control including local government regulations and by-laws</w:t>
      </w:r>
    </w:p>
    <w:p w:rsidR="00000000" w:rsidRPr="00442A1F" w:rsidP="00442A1F">
      <w:pPr>
        <w:pStyle w:val="ListBullet2"/>
      </w:pPr>
      <w:r w:rsidRPr="00442A1F">
        <w:t>Disability (Access to Premises – Buildings) Standards 2010 under the Disability Discrimination Act 1992 (or their successors) – known as the Access to Premises Standards</w:t>
      </w:r>
    </w:p>
    <w:p w:rsidR="00000000" w:rsidRPr="00442A1F" w:rsidP="00442A1F">
      <w:pPr>
        <w:pStyle w:val="ListBullet2"/>
      </w:pPr>
      <w:r w:rsidRPr="00442A1F">
        <w:t>National Construction Code (NCC) building classifications and access requirements</w:t>
      </w:r>
    </w:p>
    <w:p w:rsidR="00000000" w:rsidRPr="00442A1F" w:rsidP="00442A1F">
      <w:pPr>
        <w:pStyle w:val="ListBullet2"/>
      </w:pPr>
      <w:r w:rsidRPr="00442A1F">
        <w:t>Nati</w:t>
      </w:r>
      <w:r w:rsidRPr="00442A1F">
        <w:t>onal Disability Insurance Scheme (NDIS) Specialist Disability Accommodation Design Standard (or its successor)</w:t>
      </w:r>
    </w:p>
    <w:p w:rsidR="00000000" w:rsidRPr="00442A1F" w:rsidP="00442A1F">
      <w:pPr>
        <w:pStyle w:val="ListBullet2"/>
      </w:pPr>
      <w:r w:rsidRPr="00442A1F">
        <w:t>Livable Housing Australia Livable Housing Design Guidelines (or its successor)</w:t>
      </w:r>
    </w:p>
    <w:p w:rsidR="00000000" w:rsidRPr="00442A1F" w:rsidP="00442A1F">
      <w:pPr>
        <w:pStyle w:val="ListBullet2"/>
      </w:pPr>
      <w:r w:rsidRPr="00442A1F">
        <w:t>principles of universal design</w:t>
      </w:r>
    </w:p>
    <w:p w:rsidR="00000000" w:rsidRPr="00442A1F" w:rsidP="00442A1F">
      <w:pPr>
        <w:pStyle w:val="ListBullet2"/>
      </w:pPr>
      <w:r w:rsidRPr="00442A1F">
        <w:t xml:space="preserve">privacy and confidentiality </w:t>
      </w:r>
    </w:p>
    <w:p w:rsidR="00000000" w:rsidRPr="00442A1F" w:rsidP="00442A1F">
      <w:pPr>
        <w:pStyle w:val="ListBullet"/>
      </w:pPr>
      <w:r w:rsidRPr="00442A1F">
        <w:t>inter</w:t>
      </w:r>
      <w:r w:rsidRPr="00442A1F">
        <w:t>personal communication strategies used to effectively relate to people from a range of social, cultural and ethnic backgrounds and with a range of physical and cognitive abilities</w:t>
      </w:r>
    </w:p>
    <w:p w:rsidR="00000000" w:rsidRPr="00442A1F" w:rsidP="00442A1F">
      <w:pPr>
        <w:pStyle w:val="ListBullet"/>
      </w:pPr>
      <w:r w:rsidRPr="00442A1F">
        <w:t>measurements and calculations used to determine provisions for access</w:t>
      </w:r>
    </w:p>
    <w:p w:rsidR="00000000" w:rsidRPr="00442A1F" w:rsidP="00442A1F">
      <w:pPr>
        <w:pStyle w:val="ListBullet"/>
      </w:pPr>
      <w:r w:rsidRPr="00442A1F">
        <w:t>nature</w:t>
      </w:r>
      <w:r w:rsidRPr="00442A1F">
        <w:t xml:space="preserve"> of building materials and effect of performance</w:t>
      </w:r>
    </w:p>
    <w:p w:rsidR="00000000" w:rsidRPr="00442A1F" w:rsidP="00442A1F">
      <w:pPr>
        <w:pStyle w:val="ListBullet"/>
      </w:pPr>
      <w:r w:rsidRPr="00442A1F">
        <w:t>negotiation techniques</w:t>
      </w:r>
    </w:p>
    <w:p w:rsidR="00000000" w:rsidRPr="00442A1F" w:rsidP="00442A1F">
      <w:pPr>
        <w:pStyle w:val="ListBullet"/>
      </w:pPr>
      <w:r w:rsidRPr="00442A1F">
        <w:t>processes for interpreting construction plans, drawings and specifications when inspecting buildings and services for access compliance</w:t>
      </w:r>
    </w:p>
    <w:p w:rsidR="00000000" w:rsidRPr="00442A1F" w:rsidP="00442A1F">
      <w:pPr>
        <w:pStyle w:val="ListBullet"/>
      </w:pPr>
      <w:r w:rsidRPr="00442A1F">
        <w:t>role, responsibilities and powers of building ce</w:t>
      </w:r>
      <w:r w:rsidRPr="00442A1F">
        <w:t>rtifiers</w:t>
      </w:r>
    </w:p>
    <w:p w:rsidR="00000000" w:rsidRPr="00442A1F" w:rsidP="00442A1F">
      <w:pPr>
        <w:pStyle w:val="ListBullet"/>
      </w:pPr>
      <w:r w:rsidRPr="00442A1F">
        <w:t>stages of construction and methods for progressive inspection of building work and services to determine access compliance</w:t>
      </w:r>
    </w:p>
    <w:p w:rsidR="00000000" w:rsidRPr="00442A1F" w:rsidP="00442A1F">
      <w:pPr>
        <w:pStyle w:val="ListBullet"/>
      </w:pPr>
      <w:r w:rsidRPr="00442A1F">
        <w:t>types of disability and limitations that each disability places on an individual’s ability to access the environment</w:t>
      </w:r>
    </w:p>
    <w:p w:rsidR="00000000" w:rsidRPr="00442A1F" w:rsidP="00442A1F">
      <w:pPr>
        <w:pStyle w:val="ListBullet"/>
      </w:pPr>
      <w:r w:rsidRPr="00442A1F">
        <w:t>workplace requirements for inspecting access compliance during the building process:</w:t>
      </w:r>
    </w:p>
    <w:p w:rsidR="00000000" w:rsidRPr="00442A1F" w:rsidP="00442A1F">
      <w:pPr>
        <w:pStyle w:val="ListBullet2"/>
      </w:pPr>
      <w:r w:rsidRPr="00442A1F">
        <w:t>documentation and records administration</w:t>
      </w:r>
    </w:p>
    <w:p w:rsidR="00000000" w:rsidRPr="00442A1F" w:rsidP="00442A1F">
      <w:pPr>
        <w:pStyle w:val="ListBullet2"/>
      </w:pPr>
      <w:r w:rsidRPr="00442A1F">
        <w:t>format and content of:</w:t>
      </w:r>
    </w:p>
    <w:p w:rsidR="00000000" w:rsidRPr="00442A1F" w:rsidP="00442A1F">
      <w:pPr>
        <w:pStyle w:val="ListBullet3"/>
      </w:pPr>
      <w:r w:rsidRPr="00442A1F">
        <w:t>client contractual arrangements</w:t>
      </w:r>
    </w:p>
    <w:p w:rsidR="00000000" w:rsidRPr="00442A1F" w:rsidP="00442A1F">
      <w:pPr>
        <w:pStyle w:val="ListBullet3"/>
      </w:pPr>
      <w:r w:rsidRPr="00442A1F">
        <w:t>building access reports</w:t>
      </w:r>
    </w:p>
    <w:p w:rsidR="00000000" w:rsidRPr="00442A1F" w:rsidP="00442A1F">
      <w:pPr>
        <w:pStyle w:val="ListBullet2"/>
      </w:pPr>
      <w:r w:rsidRPr="00442A1F">
        <w:t>quality</w:t>
      </w:r>
    </w:p>
    <w:p w:rsidR="00000000" w:rsidRPr="00442A1F" w:rsidP="00442A1F">
      <w:pPr>
        <w:pStyle w:val="ListBullet2"/>
      </w:pPr>
      <w:r w:rsidRPr="00442A1F">
        <w:t>work health and safety (WHS) requirement</w:t>
      </w:r>
      <w:r w:rsidRPr="00442A1F">
        <w:t>s for building inspections</w:t>
      </w:r>
    </w:p>
    <w:p w:rsidR="00000000" w:rsidRPr="00442A1F" w:rsidP="00442A1F">
      <w:pPr>
        <w:pStyle w:val="ListBullet2"/>
      </w:pPr>
      <w:r w:rsidRPr="00442A1F">
        <w:t>work role boundaries - responsibilities, limitations and professional abilities.</w:t>
      </w:r>
    </w:p>
    <w:p w:rsidR="00000000" w:rsidRPr="00442A1F" w:rsidP="00442A1F">
      <w:pPr>
        <w:pStyle w:val="AllowPageBreak"/>
      </w:pPr>
    </w:p>
    <w:p w:rsidR="00000000" w:rsidRPr="00442A1F" w:rsidP="00442A1F">
      <w:pPr>
        <w:pStyle w:val="Heading1"/>
      </w:pPr>
      <w:bookmarkStart w:id="4" w:name="O_1172695"/>
      <w:bookmarkEnd w:id="4"/>
      <w:r w:rsidRPr="00442A1F">
        <w:t>Assessment Conditions</w:t>
      </w:r>
    </w:p>
    <w:p w:rsidR="00000000" w:rsidRPr="00442A1F" w:rsidP="00660A20">
      <w:pPr>
        <w:pStyle w:val="BodyText"/>
      </w:pPr>
      <w:r w:rsidRPr="00442A1F">
        <w:t xml:space="preserve">Assessors must meet the requirements for assessors contained in the Standards for Registered Training Organisations. </w:t>
      </w:r>
    </w:p>
    <w:p w:rsidR="00000000" w:rsidRPr="00442A1F" w:rsidP="00660A20">
      <w:pPr>
        <w:pStyle w:val="BodyText"/>
      </w:pPr>
      <w:r w:rsidRPr="00442A1F">
        <w:t>Assessment must be conducted in the workplace or a simulated workplace using realistic conditions, materials, activities, responsibilities</w:t>
      </w:r>
      <w:r w:rsidRPr="00442A1F">
        <w:t>, procedures, safety requirements and environmental considerations.</w:t>
      </w:r>
    </w:p>
    <w:p w:rsidR="00000000" w:rsidRPr="00442A1F" w:rsidP="00660A20">
      <w:pPr>
        <w:pStyle w:val="BodyText"/>
      </w:pPr>
      <w:r w:rsidRPr="00442A1F">
        <w:t>Candidates must have access to documentation, information, technologies, sites and equipment required to achieve the performance criteria and performance evidence.</w:t>
      </w:r>
    </w:p>
    <w:p w:rsidR="00000000" w:rsidRPr="00442A1F" w:rsidP="00442A1F">
      <w:pPr>
        <w:pStyle w:val="Heading1"/>
      </w:pPr>
      <w:bookmarkStart w:id="5" w:name="O_1172693"/>
      <w:bookmarkEnd w:id="5"/>
      <w:r w:rsidRPr="00442A1F">
        <w:t>Links</w:t>
      </w:r>
    </w:p>
    <w:p w:rsidR="00000000" w:rsidRPr="00442A1F" w:rsidP="00660A20">
      <w:pPr>
        <w:pStyle w:val="BodyText"/>
      </w:pPr>
      <w:r w:rsidRPr="00442A1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512B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42A1F" w:rsidP="00442A1F"/>
    <w:sectPr w:rsidSect="00442A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A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A1F" w:rsidRPr="00660A20" w:rsidP="00660A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A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A20" w:rsidP="00442A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60A20" w:rsidP="00442A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60A20" w:rsidP="00442A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A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A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2A1F" w:rsidRPr="00660A20" w:rsidP="00660A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A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A20" w:rsidRPr="002D2AF8" w:rsidP="00442A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CPPACC5002 Inspect access compliance during the building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660A20" w:rsidP="00442A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D2F3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1A6D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48CF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2A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2A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2A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2A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2A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2A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2A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2A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2A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2A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2A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2A1F"/>
  </w:style>
  <w:style w:type="character" w:customStyle="1" w:styleId="Heading1Char">
    <w:name w:val="Heading 1 Char"/>
    <w:basedOn w:val="DefaultParagraphFont"/>
    <w:link w:val="Heading1"/>
    <w:rsid w:val="00442A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2A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2A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2A1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42A1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42A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2A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42A1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42A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2A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2A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2A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2A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2A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2A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2A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2A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2A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2A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2A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2A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2A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2A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2A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2A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2A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2A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2A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2A1F"/>
    <w:rPr>
      <w:b/>
      <w:spacing w:val="0"/>
    </w:rPr>
  </w:style>
  <w:style w:type="paragraph" w:customStyle="1" w:styleId="SuperTitle">
    <w:name w:val="SuperTitle"/>
    <w:basedOn w:val="Title"/>
    <w:rsid w:val="00442A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2A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2A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2A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2A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2A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2A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2A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2A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2A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2A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2A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2A1F"/>
    <w:rPr>
      <w:i/>
    </w:rPr>
  </w:style>
  <w:style w:type="paragraph" w:styleId="Caption">
    <w:name w:val="caption"/>
    <w:basedOn w:val="BodyText"/>
    <w:next w:val="Normal"/>
    <w:qFormat/>
    <w:rsid w:val="00442A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2A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2A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2A1F"/>
  </w:style>
  <w:style w:type="paragraph" w:styleId="TableofFigures">
    <w:name w:val="table of figures"/>
    <w:basedOn w:val="Normal"/>
    <w:next w:val="Normal"/>
    <w:semiHidden/>
    <w:rsid w:val="00442A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2A1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42A1F"/>
    <w:rPr>
      <w:rFonts w:ascii="Wingdings" w:hAnsi="Wingdings"/>
    </w:rPr>
  </w:style>
  <w:style w:type="paragraph" w:customStyle="1" w:styleId="TableHeading">
    <w:name w:val="Table Heading"/>
    <w:basedOn w:val="HeadingBase"/>
    <w:rsid w:val="00442A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2A1F"/>
    <w:rPr>
      <w:color w:val="0033CC"/>
      <w:u w:val="none"/>
    </w:rPr>
  </w:style>
  <w:style w:type="paragraph" w:customStyle="1" w:styleId="BodyTextRight">
    <w:name w:val="Body Text Right"/>
    <w:basedOn w:val="BodyText"/>
    <w:rsid w:val="00442A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2A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2A1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2A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2A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2A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2A1F"/>
    <w:rPr>
      <w:sz w:val="32"/>
    </w:rPr>
  </w:style>
  <w:style w:type="paragraph" w:customStyle="1" w:styleId="HeadingProcedure">
    <w:name w:val="Heading Procedure"/>
    <w:basedOn w:val="HeadingBase"/>
    <w:next w:val="Normal"/>
    <w:rsid w:val="00442A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2A1F"/>
    <w:pPr>
      <w:spacing w:before="60" w:after="60"/>
    </w:pPr>
  </w:style>
  <w:style w:type="paragraph" w:styleId="ListContinue">
    <w:name w:val="List Continue"/>
    <w:basedOn w:val="List"/>
    <w:rsid w:val="00442A1F"/>
    <w:pPr>
      <w:ind w:firstLine="0"/>
    </w:pPr>
  </w:style>
  <w:style w:type="paragraph" w:customStyle="1" w:styleId="ListNote">
    <w:name w:val="List Note"/>
    <w:basedOn w:val="List"/>
    <w:rsid w:val="00442A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2A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2A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2A1F"/>
    <w:rPr>
      <w:rFonts w:ascii="Courier New" w:hAnsi="Courier New"/>
    </w:rPr>
  </w:style>
  <w:style w:type="paragraph" w:customStyle="1" w:styleId="NoteBullet">
    <w:name w:val="Note Bullet"/>
    <w:basedOn w:val="Note"/>
    <w:rsid w:val="00442A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2A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2A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2A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2A1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42A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2A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2A1F"/>
    <w:rPr>
      <w:b/>
      <w:smallCaps/>
    </w:rPr>
  </w:style>
  <w:style w:type="paragraph" w:customStyle="1" w:styleId="TableListNumber">
    <w:name w:val="Table List Number"/>
    <w:basedOn w:val="ListNumber"/>
    <w:rsid w:val="00442A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2A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2A1F"/>
    <w:pPr>
      <w:numPr>
        <w:numId w:val="10"/>
      </w:numPr>
    </w:pPr>
  </w:style>
  <w:style w:type="paragraph" w:customStyle="1" w:styleId="ListAlpha2">
    <w:name w:val="List Alpha 2"/>
    <w:basedOn w:val="List2"/>
    <w:rsid w:val="00442A1F"/>
    <w:pPr>
      <w:numPr>
        <w:numId w:val="9"/>
      </w:numPr>
    </w:pPr>
  </w:style>
  <w:style w:type="paragraph" w:styleId="List2">
    <w:name w:val="List 2"/>
    <w:basedOn w:val="BodyText"/>
    <w:rsid w:val="00442A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2A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2A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2A1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42A1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42A1F"/>
    <w:pPr>
      <w:numPr>
        <w:numId w:val="5"/>
      </w:numPr>
    </w:pPr>
  </w:style>
  <w:style w:type="paragraph" w:styleId="ListContinue2">
    <w:name w:val="List Continue 2"/>
    <w:basedOn w:val="List2"/>
    <w:rsid w:val="00442A1F"/>
    <w:pPr>
      <w:ind w:firstLine="0"/>
    </w:pPr>
  </w:style>
  <w:style w:type="paragraph" w:styleId="ListContinue3">
    <w:name w:val="List Continue 3"/>
    <w:basedOn w:val="List3"/>
    <w:rsid w:val="00442A1F"/>
    <w:pPr>
      <w:ind w:left="1021" w:firstLine="0"/>
    </w:pPr>
  </w:style>
  <w:style w:type="paragraph" w:styleId="ListContinue4">
    <w:name w:val="List Continue 4"/>
    <w:basedOn w:val="List4"/>
    <w:rsid w:val="00442A1F"/>
    <w:pPr>
      <w:ind w:firstLine="0"/>
    </w:pPr>
  </w:style>
  <w:style w:type="paragraph" w:styleId="ListContinue5">
    <w:name w:val="List Continue 5"/>
    <w:basedOn w:val="List5"/>
    <w:rsid w:val="00442A1F"/>
    <w:pPr>
      <w:ind w:firstLine="0"/>
    </w:pPr>
  </w:style>
  <w:style w:type="paragraph" w:styleId="ListNumber3">
    <w:name w:val="List Number 3"/>
    <w:basedOn w:val="List3"/>
    <w:rsid w:val="00442A1F"/>
    <w:pPr>
      <w:numPr>
        <w:numId w:val="6"/>
      </w:numPr>
    </w:pPr>
  </w:style>
  <w:style w:type="paragraph" w:styleId="ListNumber4">
    <w:name w:val="List Number 4"/>
    <w:basedOn w:val="List4"/>
    <w:rsid w:val="00442A1F"/>
    <w:pPr>
      <w:numPr>
        <w:numId w:val="7"/>
      </w:numPr>
    </w:pPr>
  </w:style>
  <w:style w:type="paragraph" w:styleId="ListNumber5">
    <w:name w:val="List Number 5"/>
    <w:basedOn w:val="List5"/>
    <w:rsid w:val="00442A1F"/>
    <w:pPr>
      <w:numPr>
        <w:numId w:val="8"/>
      </w:numPr>
    </w:pPr>
  </w:style>
  <w:style w:type="paragraph" w:styleId="BlockText">
    <w:name w:val="Block Text"/>
    <w:basedOn w:val="Normal"/>
    <w:rsid w:val="00442A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2A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2A1F"/>
    <w:rPr>
      <w:sz w:val="16"/>
      <w:vertAlign w:val="superscript"/>
    </w:rPr>
  </w:style>
  <w:style w:type="character" w:customStyle="1" w:styleId="Symbols">
    <w:name w:val="Symbols"/>
    <w:basedOn w:val="DefaultParagraphFont"/>
    <w:rsid w:val="00442A1F"/>
    <w:rPr>
      <w:rFonts w:ascii="Symbol" w:hAnsi="Symbol"/>
    </w:rPr>
  </w:style>
  <w:style w:type="character" w:customStyle="1" w:styleId="MenuOptions">
    <w:name w:val="Menu Options"/>
    <w:basedOn w:val="DefaultParagraphFont"/>
    <w:rsid w:val="00442A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2A1F"/>
    <w:rPr>
      <w:b/>
    </w:rPr>
  </w:style>
  <w:style w:type="character" w:customStyle="1" w:styleId="Underlined">
    <w:name w:val="Underlined"/>
    <w:basedOn w:val="DefaultParagraphFont"/>
    <w:rsid w:val="00442A1F"/>
    <w:rPr>
      <w:u w:val="single"/>
    </w:rPr>
  </w:style>
  <w:style w:type="paragraph" w:customStyle="1" w:styleId="TableBodyTextRight">
    <w:name w:val="Table Body Text Right"/>
    <w:basedOn w:val="TableBodyText"/>
    <w:rsid w:val="00442A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2A1F"/>
    <w:rPr>
      <w:sz w:val="18"/>
    </w:rPr>
  </w:style>
  <w:style w:type="paragraph" w:customStyle="1" w:styleId="BodySmallRight">
    <w:name w:val="Body Small Right"/>
    <w:basedOn w:val="BodyTextRight"/>
    <w:rsid w:val="00442A1F"/>
    <w:rPr>
      <w:sz w:val="18"/>
      <w:szCs w:val="18"/>
    </w:rPr>
  </w:style>
  <w:style w:type="paragraph" w:customStyle="1" w:styleId="MarginEdition">
    <w:name w:val="Margin Edition"/>
    <w:basedOn w:val="MarginNote"/>
    <w:rsid w:val="00442A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2A1F"/>
    <w:rPr>
      <w:sz w:val="2"/>
      <w:szCs w:val="2"/>
    </w:rPr>
  </w:style>
  <w:style w:type="character" w:customStyle="1" w:styleId="Small">
    <w:name w:val="Small"/>
    <w:basedOn w:val="DefaultParagraphFont"/>
    <w:rsid w:val="00442A1F"/>
    <w:rPr>
      <w:sz w:val="16"/>
    </w:rPr>
  </w:style>
  <w:style w:type="paragraph" w:customStyle="1" w:styleId="WideTable">
    <w:name w:val="Wide Table"/>
    <w:basedOn w:val="Normal"/>
    <w:rsid w:val="00442A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2A1F"/>
  </w:style>
  <w:style w:type="paragraph" w:styleId="Quote">
    <w:name w:val="Quote"/>
    <w:basedOn w:val="Heading1"/>
    <w:link w:val="QuoteChar"/>
    <w:qFormat/>
    <w:rsid w:val="00442A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2A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2A1F"/>
    <w:pPr>
      <w:pageBreakBefore/>
    </w:pPr>
  </w:style>
  <w:style w:type="paragraph" w:customStyle="1" w:styleId="Border">
    <w:name w:val="Border"/>
    <w:basedOn w:val="Normal"/>
    <w:qFormat/>
    <w:rsid w:val="00442A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2A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2A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2A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2A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2A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2A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2A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2A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2A1F"/>
    <w:rPr>
      <w:u w:val="single"/>
    </w:rPr>
  </w:style>
  <w:style w:type="character" w:customStyle="1" w:styleId="BoldandItalics">
    <w:name w:val="Bold and Italics"/>
    <w:qFormat/>
    <w:rsid w:val="00442A1F"/>
    <w:rPr>
      <w:b/>
      <w:i/>
      <w:u w:val="none"/>
    </w:rPr>
  </w:style>
  <w:style w:type="paragraph" w:styleId="BalloonText">
    <w:name w:val="Balloon Text"/>
    <w:basedOn w:val="Normal"/>
    <w:link w:val="BalloonTextChar"/>
    <w:rsid w:val="00442A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2A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2A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2A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2A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2A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2A1F"/>
    <w:pPr>
      <w:spacing w:before="0" w:after="0"/>
    </w:pPr>
  </w:style>
  <w:style w:type="paragraph" w:customStyle="1" w:styleId="BodyTextBold">
    <w:name w:val="Body Text Bold"/>
    <w:basedOn w:val="BodyText"/>
    <w:qFormat/>
    <w:rsid w:val="00442A1F"/>
    <w:rPr>
      <w:b/>
    </w:rPr>
  </w:style>
  <w:style w:type="character" w:styleId="Hyperlink">
    <w:name w:val="Hyperlink"/>
    <w:basedOn w:val="DefaultParagraphFont"/>
    <w:uiPriority w:val="99"/>
    <w:unhideWhenUsed/>
    <w:rsid w:val="00660A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435</Words>
  <Characters>3078</Characters>
  <Application>Microsoft Office Word</Application>
  <DocSecurity>0</DocSecurity>
  <Lines>73</Lines>
  <Paragraphs>50</Paragraphs>
  <ScaleCrop>false</ScaleCrop>
  <Company>Author-it Software Corporation Ltd.</Company>
  <LinksUpToDate>false</LinksUpToDate>
  <CharactersWithSpaces>3463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CPPACC5002 Inspect access compliance during the building process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2022-12-19T06:23:00Z</dcterms:created>
  <dcterms:modified xsi:type="dcterms:W3CDTF">2022-12-19T06:23:00Z</dcterms:modified>
</cp:coreProperties>
</file>