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548" w:rsidP="007B25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CPPACC5001 Assess building work documentation for access compliance</w:t>
      </w:r>
      <w:r>
        <w:fldChar w:fldCharType="end"/>
      </w:r>
    </w:p>
    <w:p w:rsidR="007B2548" w:rsidP="007B2548">
      <w:pPr>
        <w:pStyle w:val="Version"/>
        <w:sectPr w:rsidSect="00850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7D1" w:rsidP="008507D1">
      <w:pPr>
        <w:pStyle w:val="SuperHeading"/>
      </w:pPr>
      <w:r w:rsidRPr="008507D1">
        <w:t>CPPACC5001 Assess building work documentation for access compliance</w:t>
      </w:r>
    </w:p>
    <w:p w:rsidR="00000000" w:rsidRPr="008507D1" w:rsidP="008507D1">
      <w:pPr>
        <w:pStyle w:val="Heading1"/>
      </w:pPr>
      <w:bookmarkStart w:id="1" w:name="O_1172681"/>
      <w:bookmarkEnd w:id="1"/>
      <w:r w:rsidRPr="008507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D1" w:rsidP="008507D1">
            <w:pPr>
              <w:pStyle w:val="BodyText"/>
            </w:pPr>
            <w:r w:rsidRPr="008507D1">
              <w:t>This unit first released with CPP Property Services Training Package Release 14.0.</w:t>
            </w:r>
          </w:p>
          <w:p w:rsidR="00000000" w:rsidRPr="008507D1" w:rsidP="008507D1">
            <w:pPr>
              <w:pStyle w:val="BodyText"/>
            </w:pPr>
            <w:r w:rsidRPr="008507D1">
              <w:t>Supersedes and is equi</w:t>
            </w:r>
            <w:r w:rsidRPr="008507D1">
              <w:t>valent to CPPACC5001A Assess documentation of building work for access compliance. Minor change to unit title.</w:t>
            </w:r>
          </w:p>
          <w:p w:rsidR="00000000" w:rsidRPr="008507D1" w:rsidP="008507D1">
            <w:pPr>
              <w:pStyle w:val="BodyText"/>
            </w:pPr>
            <w:r w:rsidRPr="008507D1">
              <w:t xml:space="preserve">Unit updated to meet the Standards for Training Packages 2012. </w:t>
            </w:r>
          </w:p>
        </w:tc>
      </w:tr>
    </w:tbl>
    <w:p w:rsidR="00000000" w:rsidRPr="008507D1" w:rsidP="008507D1">
      <w:pPr>
        <w:pStyle w:val="BodyText"/>
      </w:pPr>
    </w:p>
    <w:p w:rsidR="00000000" w:rsidRPr="008507D1" w:rsidP="008507D1">
      <w:pPr>
        <w:pStyle w:val="AllowPageBreak"/>
      </w:pPr>
    </w:p>
    <w:p w:rsidR="00000000" w:rsidRPr="008507D1" w:rsidP="008507D1">
      <w:pPr>
        <w:pStyle w:val="Heading1"/>
      </w:pPr>
      <w:bookmarkStart w:id="2" w:name="O_1172687"/>
      <w:bookmarkEnd w:id="2"/>
      <w:r w:rsidRPr="008507D1">
        <w:t>Application</w:t>
      </w:r>
    </w:p>
    <w:p w:rsidR="00000000" w:rsidRPr="008507D1" w:rsidP="007B2548">
      <w:pPr>
        <w:pStyle w:val="BodyText"/>
      </w:pPr>
      <w:r w:rsidRPr="008507D1">
        <w:t>This unit of competency specifies the skills and</w:t>
      </w:r>
      <w:r w:rsidRPr="008507D1">
        <w:t xml:space="preserve"> knowledge required to assess building work documentation for compliance with building access legislation. It includes evaluating and interpreting plans, specifications and detail drawings in building approval applications, assessing regulatory requirement</w:t>
      </w:r>
      <w:r w:rsidRPr="008507D1">
        <w:t>s for access and preparing reports.</w:t>
      </w:r>
    </w:p>
    <w:p w:rsidR="00000000" w:rsidRPr="008507D1" w:rsidP="007B2548">
      <w:pPr>
        <w:pStyle w:val="BodyText"/>
      </w:pPr>
      <w:r w:rsidRPr="008507D1">
        <w:t>This unit is for individuals who are self-directed and have substantial depth of knowledge and skills to make independent judgements in the provision of access consulting services.</w:t>
      </w:r>
    </w:p>
    <w:p w:rsidR="00000000" w:rsidRPr="008507D1" w:rsidP="007B2548">
      <w:pPr>
        <w:pStyle w:val="BodyText"/>
      </w:pPr>
      <w:r w:rsidRPr="008507D1">
        <w:t>No licensing, legislative or certificat</w:t>
      </w:r>
      <w:r w:rsidRPr="008507D1">
        <w:t>ion requirements apply to this unit at the time of publication.</w:t>
      </w:r>
    </w:p>
    <w:p w:rsidR="00000000" w:rsidRPr="008507D1" w:rsidP="008507D1">
      <w:pPr>
        <w:pStyle w:val="Heading1"/>
      </w:pPr>
      <w:bookmarkStart w:id="3" w:name="O_1172686"/>
      <w:bookmarkEnd w:id="3"/>
      <w:r w:rsidRPr="008507D1">
        <w:t>Pre-requisite Unit</w:t>
      </w:r>
    </w:p>
    <w:p w:rsidR="00000000" w:rsidRPr="008507D1" w:rsidP="007B2548">
      <w:pPr>
        <w:pStyle w:val="BodyText"/>
      </w:pPr>
      <w:r w:rsidRPr="008507D1">
        <w:t>Nil.</w:t>
      </w:r>
    </w:p>
    <w:p w:rsidR="00000000" w:rsidRPr="008507D1" w:rsidP="008507D1">
      <w:pPr>
        <w:pStyle w:val="Heading1"/>
      </w:pPr>
      <w:bookmarkStart w:id="4" w:name="O_1172685"/>
      <w:bookmarkEnd w:id="4"/>
      <w:r w:rsidRPr="008507D1">
        <w:t>Unit Sector</w:t>
      </w:r>
    </w:p>
    <w:p w:rsidR="00000000" w:rsidRPr="008507D1" w:rsidP="007B2548">
      <w:pPr>
        <w:pStyle w:val="BodyText"/>
      </w:pPr>
      <w:r w:rsidRPr="008507D1">
        <w:t>Access Consulting.</w:t>
      </w:r>
    </w:p>
    <w:p w:rsidR="00000000" w:rsidRPr="008507D1" w:rsidP="008507D1">
      <w:pPr>
        <w:pStyle w:val="Heading1"/>
      </w:pPr>
      <w:bookmarkStart w:id="5" w:name="O_1172684"/>
      <w:bookmarkEnd w:id="5"/>
      <w:r w:rsidRPr="008507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Performance criteria describe what needs to be done to demonstrate achievement of the element.</w:t>
            </w: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Assess existing building to determine required level of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Determine building classification according to the National Construction Code (NCC).</w:t>
            </w: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1</w:t>
            </w:r>
            <w:r w:rsidRPr="008507D1">
              <w:t>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 xml:space="preserve">Inspect building to assess access provisions and determine compliance with NCC requirements according </w:t>
            </w:r>
            <w:r w:rsidRPr="008507D1">
              <w:t>to regulatory and workplace requirements.</w:t>
            </w: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Document building classification and level of compliance with NCC access requirements according to workplace requirements.</w:t>
            </w: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Evaluate building approval application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Evaluate building approval application against regulatory requireme</w:t>
            </w:r>
            <w:r w:rsidRPr="008507D1">
              <w:t>nts for access provision.</w:t>
            </w: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Evaluate plans, specifications and detail drawings included in building approval application for compliance with required level of access according to regulatory requirements.</w:t>
            </w: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Identify and document access regulatory non-compliances in the building approval application, and report to client according to workplace requirements.</w:t>
            </w: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Negotiate with relevant persons to resolve access non-compliances to meet regulatory and workplace requirements.</w:t>
            </w: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Report on building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Prepare building access report to meet contractual and workplace requirements.</w:t>
            </w: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Forward building access report and associated documentation to client according to contractual arrangements.</w:t>
            </w:r>
          </w:p>
        </w:tc>
      </w:tr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D1" w:rsidP="008507D1">
            <w:pPr>
              <w:pStyle w:val="BodyText"/>
            </w:pPr>
            <w:r w:rsidRPr="008507D1">
              <w:t>Maintain copies of building access report and associated documentation for future reference according to regulatory and workplace requiremen</w:t>
            </w:r>
            <w:r w:rsidRPr="008507D1">
              <w:t>ts.</w:t>
            </w:r>
          </w:p>
        </w:tc>
      </w:tr>
    </w:tbl>
    <w:p w:rsidR="00000000" w:rsidRPr="008507D1" w:rsidP="008507D1">
      <w:pPr>
        <w:pStyle w:val="BodyText"/>
      </w:pPr>
    </w:p>
    <w:p w:rsidR="00000000" w:rsidRPr="008507D1" w:rsidP="008507D1">
      <w:pPr>
        <w:pStyle w:val="AllowPageBreak"/>
      </w:pPr>
    </w:p>
    <w:p w:rsidR="00000000" w:rsidRPr="008507D1" w:rsidP="008507D1">
      <w:pPr>
        <w:pStyle w:val="Heading1"/>
      </w:pPr>
      <w:bookmarkStart w:id="6" w:name="O_1172683"/>
      <w:bookmarkEnd w:id="6"/>
      <w:r w:rsidRPr="008507D1">
        <w:t>Foundation Skills</w:t>
      </w:r>
    </w:p>
    <w:p w:rsidR="00000000" w:rsidRPr="008507D1" w:rsidP="007B2548">
      <w:pPr>
        <w:pStyle w:val="BodyText"/>
      </w:pPr>
      <w:r w:rsidRPr="008507D1">
        <w:t>Foundation skills essential to performance are explicit in the performance criteria of this unit of competency.</w:t>
      </w:r>
    </w:p>
    <w:p w:rsidR="00000000" w:rsidRPr="008507D1" w:rsidP="008507D1">
      <w:pPr>
        <w:pStyle w:val="Heading1"/>
      </w:pPr>
      <w:bookmarkStart w:id="7" w:name="O_1172682"/>
      <w:bookmarkEnd w:id="7"/>
      <w:r w:rsidRPr="008507D1">
        <w:t>Unit Mapping Information</w:t>
      </w:r>
    </w:p>
    <w:p w:rsidR="00000000" w:rsidRPr="008507D1" w:rsidP="007B2548">
      <w:pPr>
        <w:pStyle w:val="BodyText"/>
      </w:pPr>
      <w:r w:rsidRPr="008507D1">
        <w:t>Supersedes and is equivalent to CPPACC5001A Assess documentation of building work for access compliance.</w:t>
      </w:r>
    </w:p>
    <w:p w:rsidR="00000000" w:rsidRPr="008507D1" w:rsidP="008507D1">
      <w:pPr>
        <w:pStyle w:val="Heading1"/>
      </w:pPr>
      <w:bookmarkStart w:id="8" w:name="O_1172675"/>
      <w:bookmarkEnd w:id="8"/>
      <w:r w:rsidRPr="008507D1">
        <w:t>Links</w:t>
      </w:r>
    </w:p>
    <w:p w:rsidR="00000000" w:rsidRPr="008507D1" w:rsidP="007B2548">
      <w:pPr>
        <w:pStyle w:val="BodyText"/>
      </w:pPr>
      <w:r w:rsidRPr="008507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C2A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07D1" w:rsidP="007B2548">
      <w:pPr>
        <w:pStyle w:val="BodyText"/>
        <w:sectPr w:rsidSect="008507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07D1" w:rsidP="008507D1">
      <w:pPr>
        <w:pStyle w:val="SuperHeading"/>
      </w:pPr>
      <w:r w:rsidRPr="008507D1">
        <w:t>Assessment Requirements for CPPACC5001 Assess building work documentation for access compliance</w:t>
      </w:r>
    </w:p>
    <w:p w:rsidR="00000000" w:rsidRPr="008507D1" w:rsidP="008507D1">
      <w:pPr>
        <w:pStyle w:val="Heading1"/>
      </w:pPr>
      <w:bookmarkStart w:id="9" w:name="O_1172677"/>
      <w:bookmarkEnd w:id="9"/>
      <w:r w:rsidRPr="008507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D1">
            <w:pPr>
              <w:pStyle w:val="BodyText"/>
              <w:rPr>
                <w:lang w:val="en-NZ"/>
              </w:rPr>
            </w:pPr>
            <w:r w:rsidRPr="008507D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D1" w:rsidP="008507D1">
            <w:pPr>
              <w:pStyle w:val="BodyText"/>
            </w:pPr>
            <w:r w:rsidRPr="008507D1">
              <w:t>This unit first released</w:t>
            </w:r>
            <w:r w:rsidRPr="008507D1">
              <w:t xml:space="preserve"> with CPP Property Services Training Package Release 14.0.</w:t>
            </w:r>
          </w:p>
          <w:p w:rsidR="00000000" w:rsidRPr="008507D1" w:rsidP="008507D1">
            <w:pPr>
              <w:pStyle w:val="BodyText"/>
            </w:pPr>
            <w:r w:rsidRPr="008507D1">
              <w:t>Supersedes and is equivalent to CPPACC5001A Assess documentation of building work for access compliance. Minor change to unit title.</w:t>
            </w:r>
          </w:p>
          <w:p w:rsidR="00000000" w:rsidRPr="008507D1" w:rsidP="008507D1">
            <w:pPr>
              <w:pStyle w:val="BodyText"/>
            </w:pPr>
            <w:r w:rsidRPr="008507D1">
              <w:t xml:space="preserve">Unit updated to meet the Standards for Training Packages 2012. </w:t>
            </w:r>
          </w:p>
        </w:tc>
      </w:tr>
    </w:tbl>
    <w:p w:rsidR="00000000" w:rsidRPr="008507D1" w:rsidP="008507D1">
      <w:pPr>
        <w:pStyle w:val="BodyText"/>
      </w:pPr>
    </w:p>
    <w:p w:rsidR="00000000" w:rsidRPr="008507D1" w:rsidP="008507D1">
      <w:pPr>
        <w:pStyle w:val="AllowPageBreak"/>
      </w:pPr>
    </w:p>
    <w:p w:rsidR="00000000" w:rsidRPr="008507D1" w:rsidP="008507D1">
      <w:pPr>
        <w:pStyle w:val="Heading1"/>
      </w:pPr>
      <w:bookmarkStart w:id="10" w:name="O_1172680"/>
      <w:bookmarkEnd w:id="10"/>
      <w:r w:rsidRPr="008507D1">
        <w:t>Performance Evidence</w:t>
      </w:r>
    </w:p>
    <w:p w:rsidR="00000000" w:rsidRPr="008507D1" w:rsidP="007B2548">
      <w:pPr>
        <w:pStyle w:val="BodyText"/>
      </w:pPr>
      <w:r w:rsidRPr="008507D1">
        <w:t xml:space="preserve">To demonstrate competency, a candidate must meet the elements and performance criteria of this unit by assessing the access compliance of building work documentation </w:t>
      </w:r>
      <w:r w:rsidRPr="008507D1">
        <w:t>for two different classes of buildings as defined by the National Construction Code (NCC).</w:t>
      </w:r>
    </w:p>
    <w:p w:rsidR="00000000" w:rsidRPr="008507D1" w:rsidP="008507D1">
      <w:pPr>
        <w:pStyle w:val="Heading1"/>
      </w:pPr>
      <w:bookmarkStart w:id="11" w:name="O_1172679"/>
      <w:bookmarkEnd w:id="11"/>
      <w:r w:rsidRPr="008507D1">
        <w:t>Knowledge Evidence</w:t>
      </w:r>
    </w:p>
    <w:p w:rsidR="00000000" w:rsidRPr="008507D1" w:rsidP="007B2548">
      <w:pPr>
        <w:pStyle w:val="BodyText"/>
      </w:pPr>
      <w:r w:rsidRPr="008507D1">
        <w:t>To be competent in this unit, a candidate must demonstrate knowledge of:</w:t>
      </w:r>
    </w:p>
    <w:p w:rsidR="00000000" w:rsidRPr="008507D1" w:rsidP="008507D1">
      <w:pPr>
        <w:pStyle w:val="ListBullet"/>
      </w:pPr>
      <w:r w:rsidRPr="008507D1">
        <w:t>Commonwealth, state and territory legislation, regula</w:t>
      </w:r>
      <w:r w:rsidRPr="008507D1">
        <w:t>tions, codes and standards relevant to access consulting activities:</w:t>
      </w:r>
    </w:p>
    <w:p w:rsidR="00000000" w:rsidRPr="008507D1" w:rsidP="008507D1">
      <w:pPr>
        <w:pStyle w:val="ListBullet2"/>
      </w:pPr>
      <w:r w:rsidRPr="008507D1">
        <w:t>anti-discrimination and disability discrimination</w:t>
      </w:r>
    </w:p>
    <w:p w:rsidR="00000000" w:rsidRPr="008507D1" w:rsidP="008507D1">
      <w:pPr>
        <w:pStyle w:val="ListBullet2"/>
      </w:pPr>
      <w:r w:rsidRPr="008507D1">
        <w:t>building control including local government regulations and by-laws</w:t>
      </w:r>
    </w:p>
    <w:p w:rsidR="00000000" w:rsidRPr="008507D1" w:rsidP="008507D1">
      <w:pPr>
        <w:pStyle w:val="ListBullet2"/>
      </w:pPr>
      <w:r w:rsidRPr="008507D1">
        <w:t>NCC building classifications and access requirements</w:t>
      </w:r>
    </w:p>
    <w:p w:rsidR="00000000" w:rsidRPr="008507D1" w:rsidP="008507D1">
      <w:pPr>
        <w:pStyle w:val="ListBullet2"/>
      </w:pPr>
      <w:r w:rsidRPr="008507D1">
        <w:t>Disability (Acc</w:t>
      </w:r>
      <w:r w:rsidRPr="008507D1">
        <w:t>ess to Premises – Buildings) Standards 2010 under the Disability Discrimination Act 1992 (or their successors) – known as the Access to Premises Standards</w:t>
      </w:r>
    </w:p>
    <w:p w:rsidR="00000000" w:rsidRPr="008507D1" w:rsidP="008507D1">
      <w:pPr>
        <w:pStyle w:val="ListBullet2"/>
      </w:pPr>
      <w:r w:rsidRPr="008507D1">
        <w:t>National Disability Insurance Scheme (NDIS) Specialist Disability Accommodation Design Standard (or i</w:t>
      </w:r>
      <w:r w:rsidRPr="008507D1">
        <w:t>ts successor)</w:t>
      </w:r>
    </w:p>
    <w:p w:rsidR="00000000" w:rsidRPr="008507D1" w:rsidP="008507D1">
      <w:pPr>
        <w:pStyle w:val="ListBullet2"/>
      </w:pPr>
      <w:r w:rsidRPr="008507D1">
        <w:t>Livable Housing Australia Livable Housing Design Guidelines (or its successor)</w:t>
      </w:r>
    </w:p>
    <w:p w:rsidR="00000000" w:rsidRPr="008507D1" w:rsidP="008507D1">
      <w:pPr>
        <w:pStyle w:val="ListBullet2"/>
      </w:pPr>
      <w:r w:rsidRPr="008507D1">
        <w:t>principles of universal design</w:t>
      </w:r>
    </w:p>
    <w:p w:rsidR="00000000" w:rsidRPr="008507D1" w:rsidP="008507D1">
      <w:pPr>
        <w:pStyle w:val="ListBullet2"/>
      </w:pPr>
      <w:r w:rsidRPr="008507D1">
        <w:t xml:space="preserve">privacy and confidentiality </w:t>
      </w:r>
    </w:p>
    <w:p w:rsidR="00000000" w:rsidRPr="008507D1" w:rsidP="008507D1">
      <w:pPr>
        <w:pStyle w:val="ListBullet"/>
      </w:pPr>
      <w:r w:rsidRPr="008507D1">
        <w:t>development application and building approval processes relevant to the jurisdiction of operation</w:t>
      </w:r>
    </w:p>
    <w:p w:rsidR="00000000" w:rsidRPr="008507D1" w:rsidP="008507D1">
      <w:pPr>
        <w:pStyle w:val="ListBullet"/>
      </w:pPr>
      <w:r w:rsidRPr="008507D1">
        <w:t>interpersonal communication strategies used to effectively relate to people from a range of social, cultural and ethnic backgrounds and with a range of physical and cognitive abilities</w:t>
      </w:r>
    </w:p>
    <w:p w:rsidR="00000000" w:rsidRPr="008507D1" w:rsidP="008507D1">
      <w:pPr>
        <w:pStyle w:val="ListBullet"/>
      </w:pPr>
      <w:r w:rsidRPr="008507D1">
        <w:t>methods for assessing existing buildings and building approval applicat</w:t>
      </w:r>
      <w:r w:rsidRPr="008507D1">
        <w:t>ions for access compliance including types of measurements and calculations used</w:t>
      </w:r>
    </w:p>
    <w:p w:rsidR="00000000" w:rsidRPr="008507D1" w:rsidP="008507D1">
      <w:pPr>
        <w:pStyle w:val="ListBullet"/>
      </w:pPr>
      <w:r w:rsidRPr="008507D1">
        <w:t>nature of building materials and effect of performance relevant to building work being assessed</w:t>
      </w:r>
    </w:p>
    <w:p w:rsidR="00000000" w:rsidRPr="008507D1" w:rsidP="008507D1">
      <w:pPr>
        <w:pStyle w:val="ListBullet"/>
      </w:pPr>
      <w:r w:rsidRPr="008507D1">
        <w:t>negotiation techniques</w:t>
      </w:r>
    </w:p>
    <w:p w:rsidR="00000000" w:rsidRPr="008507D1" w:rsidP="008507D1">
      <w:pPr>
        <w:pStyle w:val="ListBullet"/>
      </w:pPr>
      <w:r w:rsidRPr="008507D1">
        <w:t xml:space="preserve">processes for interpreting construction plans, drawings </w:t>
      </w:r>
      <w:r w:rsidRPr="008507D1">
        <w:t>and specifications included in building approval applications</w:t>
      </w:r>
    </w:p>
    <w:p w:rsidR="00000000" w:rsidRPr="008507D1" w:rsidP="008507D1">
      <w:pPr>
        <w:pStyle w:val="ListBullet"/>
      </w:pPr>
      <w:r w:rsidRPr="008507D1">
        <w:t>relevant industry codes of practice and ethics</w:t>
      </w:r>
    </w:p>
    <w:p w:rsidR="00000000" w:rsidRPr="008507D1" w:rsidP="008507D1">
      <w:pPr>
        <w:pStyle w:val="ListBullet"/>
      </w:pPr>
      <w:r w:rsidRPr="008507D1">
        <w:t>types of disability and limitations that each disability places on an individual’s ability to access the environment</w:t>
      </w:r>
    </w:p>
    <w:p w:rsidR="00000000" w:rsidRPr="008507D1" w:rsidP="008507D1">
      <w:pPr>
        <w:pStyle w:val="ListBullet"/>
      </w:pPr>
      <w:r w:rsidRPr="008507D1">
        <w:t>workplace requirements for ass</w:t>
      </w:r>
      <w:r w:rsidRPr="008507D1">
        <w:t>essing building work documentation for access compliance:</w:t>
      </w:r>
    </w:p>
    <w:p w:rsidR="00000000" w:rsidRPr="008507D1" w:rsidP="008507D1">
      <w:pPr>
        <w:pStyle w:val="ListBullet2"/>
      </w:pPr>
      <w:r w:rsidRPr="008507D1">
        <w:t>documentation and records administration</w:t>
      </w:r>
    </w:p>
    <w:p w:rsidR="00000000" w:rsidRPr="008507D1" w:rsidP="008507D1">
      <w:pPr>
        <w:pStyle w:val="ListBullet2"/>
      </w:pPr>
      <w:r w:rsidRPr="008507D1">
        <w:t>format and content of:</w:t>
      </w:r>
    </w:p>
    <w:p w:rsidR="00000000" w:rsidRPr="008507D1" w:rsidP="008507D1">
      <w:pPr>
        <w:pStyle w:val="ListBullet3"/>
      </w:pPr>
      <w:r w:rsidRPr="008507D1">
        <w:t>client contractual arrangements</w:t>
      </w:r>
    </w:p>
    <w:p w:rsidR="00000000" w:rsidRPr="008507D1" w:rsidP="008507D1">
      <w:pPr>
        <w:pStyle w:val="ListBullet3"/>
      </w:pPr>
      <w:r w:rsidRPr="008507D1">
        <w:t>building access reports</w:t>
      </w:r>
    </w:p>
    <w:p w:rsidR="00000000" w:rsidRPr="008507D1" w:rsidP="008507D1">
      <w:pPr>
        <w:pStyle w:val="ListBullet2"/>
      </w:pPr>
      <w:r w:rsidRPr="008507D1">
        <w:t>quality</w:t>
      </w:r>
    </w:p>
    <w:p w:rsidR="00000000" w:rsidRPr="008507D1" w:rsidP="008507D1">
      <w:pPr>
        <w:pStyle w:val="ListBullet2"/>
      </w:pPr>
      <w:r w:rsidRPr="008507D1">
        <w:t>work health and safety (WHS) requirements for building inspections</w:t>
      </w:r>
    </w:p>
    <w:p w:rsidR="00000000" w:rsidRPr="008507D1" w:rsidP="008507D1">
      <w:pPr>
        <w:pStyle w:val="ListBullet2"/>
      </w:pPr>
      <w:r w:rsidRPr="008507D1">
        <w:t>work role boundaries - responsibilities, limitations and professional abilities.</w:t>
      </w:r>
    </w:p>
    <w:p w:rsidR="00000000" w:rsidRPr="008507D1" w:rsidP="008507D1">
      <w:pPr>
        <w:pStyle w:val="AllowPageBreak"/>
      </w:pPr>
    </w:p>
    <w:p w:rsidR="00000000" w:rsidRPr="008507D1" w:rsidP="008507D1">
      <w:pPr>
        <w:pStyle w:val="Heading1"/>
      </w:pPr>
      <w:bookmarkStart w:id="12" w:name="O_1172678"/>
      <w:bookmarkEnd w:id="12"/>
      <w:r w:rsidRPr="008507D1">
        <w:t>Assessment Conditions</w:t>
      </w:r>
    </w:p>
    <w:p w:rsidR="00000000" w:rsidRPr="008507D1" w:rsidP="007B2548">
      <w:pPr>
        <w:pStyle w:val="BodyText"/>
      </w:pPr>
      <w:r w:rsidRPr="008507D1">
        <w:t xml:space="preserve">Assessors must meet the requirements for assessors contained in the Standards for Registered Training Organisations. </w:t>
      </w:r>
    </w:p>
    <w:p w:rsidR="00000000" w:rsidRPr="008507D1" w:rsidP="007B2548">
      <w:pPr>
        <w:pStyle w:val="BodyText"/>
      </w:pPr>
      <w:r w:rsidRPr="008507D1">
        <w:t xml:space="preserve">Assessment must </w:t>
      </w:r>
      <w:r w:rsidRPr="008507D1">
        <w:t>be conducted in the workplace or a simulated workplace using realistic conditions, materials, activities, responsibilities, procedures, safety requirements and environmental considerations.</w:t>
      </w:r>
    </w:p>
    <w:p w:rsidR="00000000" w:rsidRPr="008507D1" w:rsidP="007B2548">
      <w:pPr>
        <w:pStyle w:val="BodyText"/>
      </w:pPr>
      <w:r w:rsidRPr="008507D1">
        <w:t>Candidates must have access to documentation, information and tech</w:t>
      </w:r>
      <w:r w:rsidRPr="008507D1">
        <w:t>nologies required to achieve the performance criteria and performance evidence.</w:t>
      </w:r>
    </w:p>
    <w:p w:rsidR="00000000" w:rsidRPr="008507D1" w:rsidP="008507D1">
      <w:pPr>
        <w:pStyle w:val="Heading1"/>
      </w:pPr>
      <w:bookmarkStart w:id="13" w:name="O_1172676"/>
      <w:bookmarkEnd w:id="13"/>
      <w:r w:rsidRPr="008507D1">
        <w:t>Links</w:t>
      </w:r>
    </w:p>
    <w:p w:rsidR="00000000" w:rsidRPr="008507D1" w:rsidP="007B2548">
      <w:pPr>
        <w:pStyle w:val="BodyText"/>
      </w:pPr>
      <w:r w:rsidRPr="008507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C2A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07D1" w:rsidP="008507D1"/>
    <w:sectPr w:rsidSect="008507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D1" w:rsidRPr="007B2548" w:rsidP="007B25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48" w:rsidP="00850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548" w:rsidP="00850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B2548" w:rsidP="008507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D1" w:rsidP="00850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2548">
      <w:t>Approved</w:t>
    </w:r>
    <w:r w:rsidR="007B25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25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2548">
      <w:rPr>
        <w:noProof/>
      </w:rPr>
      <w:t>4</w:t>
    </w:r>
    <w:r>
      <w:rPr>
        <w:noProof/>
      </w:rPr>
      <w:fldChar w:fldCharType="end"/>
    </w:r>
  </w:p>
  <w:p w:rsidR="008507D1" w:rsidP="00850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25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2548">
      <w:t>BuildSkills Australia</w:t>
    </w:r>
    <w:r w:rsidR="007B2548">
      <w:fldChar w:fldCharType="end"/>
    </w:r>
  </w:p>
  <w:p w:rsidR="008507D1" w:rsidP="00850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7D1" w:rsidRPr="007B2548" w:rsidP="007B25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48" w:rsidRPr="002D2AF8" w:rsidP="00850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CPPACC5001 Assess building work documentation for access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2548" w:rsidP="008507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D1" w:rsidRPr="002D2AF8" w:rsidP="00850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2548">
      <w:t>CPPACC5001 Assess building work documentation for access compliance</w:t>
    </w:r>
    <w:r w:rsidR="007B25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2548">
      <w:rPr>
        <w:noProof/>
      </w:rPr>
      <w:t>2 March 2025</w:t>
    </w:r>
    <w:r>
      <w:fldChar w:fldCharType="end"/>
    </w:r>
  </w:p>
  <w:p w:rsidR="008507D1" w:rsidP="00850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66B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907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266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7D1"/>
  </w:style>
  <w:style w:type="character" w:customStyle="1" w:styleId="Heading1Char">
    <w:name w:val="Heading 1 Char"/>
    <w:basedOn w:val="DefaultParagraphFont"/>
    <w:link w:val="Heading1"/>
    <w:rsid w:val="00850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7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7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07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07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0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7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7D1"/>
    <w:rPr>
      <w:b/>
      <w:spacing w:val="0"/>
    </w:rPr>
  </w:style>
  <w:style w:type="paragraph" w:customStyle="1" w:styleId="SuperTitle">
    <w:name w:val="SuperTitle"/>
    <w:basedOn w:val="Title"/>
    <w:rsid w:val="00850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7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7D1"/>
    <w:rPr>
      <w:i/>
    </w:rPr>
  </w:style>
  <w:style w:type="paragraph" w:styleId="Caption">
    <w:name w:val="caption"/>
    <w:basedOn w:val="BodyText"/>
    <w:next w:val="Normal"/>
    <w:qFormat/>
    <w:rsid w:val="00850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7D1"/>
  </w:style>
  <w:style w:type="paragraph" w:styleId="TableofFigures">
    <w:name w:val="table of figures"/>
    <w:basedOn w:val="Normal"/>
    <w:next w:val="Normal"/>
    <w:semiHidden/>
    <w:rsid w:val="00850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7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07D1"/>
    <w:rPr>
      <w:rFonts w:ascii="Wingdings" w:hAnsi="Wingdings"/>
    </w:rPr>
  </w:style>
  <w:style w:type="paragraph" w:customStyle="1" w:styleId="TableHeading">
    <w:name w:val="Table Heading"/>
    <w:basedOn w:val="HeadingBase"/>
    <w:rsid w:val="00850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7D1"/>
    <w:rPr>
      <w:color w:val="0033CC"/>
      <w:u w:val="none"/>
    </w:rPr>
  </w:style>
  <w:style w:type="paragraph" w:customStyle="1" w:styleId="BodyTextRight">
    <w:name w:val="Body Text Right"/>
    <w:basedOn w:val="BodyText"/>
    <w:rsid w:val="00850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7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7D1"/>
    <w:rPr>
      <w:sz w:val="32"/>
    </w:rPr>
  </w:style>
  <w:style w:type="paragraph" w:customStyle="1" w:styleId="HeadingProcedure">
    <w:name w:val="Heading Procedure"/>
    <w:basedOn w:val="HeadingBase"/>
    <w:next w:val="Normal"/>
    <w:rsid w:val="00850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7D1"/>
    <w:pPr>
      <w:spacing w:before="60" w:after="60"/>
    </w:pPr>
  </w:style>
  <w:style w:type="paragraph" w:styleId="ListContinue">
    <w:name w:val="List Continue"/>
    <w:basedOn w:val="List"/>
    <w:rsid w:val="008507D1"/>
    <w:pPr>
      <w:ind w:firstLine="0"/>
    </w:pPr>
  </w:style>
  <w:style w:type="paragraph" w:customStyle="1" w:styleId="ListNote">
    <w:name w:val="List Note"/>
    <w:basedOn w:val="List"/>
    <w:rsid w:val="00850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7D1"/>
    <w:rPr>
      <w:rFonts w:ascii="Courier New" w:hAnsi="Courier New"/>
    </w:rPr>
  </w:style>
  <w:style w:type="paragraph" w:customStyle="1" w:styleId="NoteBullet">
    <w:name w:val="Note Bullet"/>
    <w:basedOn w:val="Note"/>
    <w:rsid w:val="00850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7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0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7D1"/>
    <w:rPr>
      <w:b/>
      <w:smallCaps/>
    </w:rPr>
  </w:style>
  <w:style w:type="paragraph" w:customStyle="1" w:styleId="TableListNumber">
    <w:name w:val="Table List Number"/>
    <w:basedOn w:val="ListNumber"/>
    <w:rsid w:val="00850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7D1"/>
    <w:pPr>
      <w:numPr>
        <w:numId w:val="10"/>
      </w:numPr>
    </w:pPr>
  </w:style>
  <w:style w:type="paragraph" w:customStyle="1" w:styleId="ListAlpha2">
    <w:name w:val="List Alpha 2"/>
    <w:basedOn w:val="List2"/>
    <w:rsid w:val="008507D1"/>
    <w:pPr>
      <w:numPr>
        <w:numId w:val="9"/>
      </w:numPr>
    </w:pPr>
  </w:style>
  <w:style w:type="paragraph" w:styleId="List2">
    <w:name w:val="List 2"/>
    <w:basedOn w:val="BodyText"/>
    <w:rsid w:val="00850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7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07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07D1"/>
    <w:pPr>
      <w:numPr>
        <w:numId w:val="5"/>
      </w:numPr>
    </w:pPr>
  </w:style>
  <w:style w:type="paragraph" w:styleId="ListContinue2">
    <w:name w:val="List Continue 2"/>
    <w:basedOn w:val="List2"/>
    <w:rsid w:val="008507D1"/>
    <w:pPr>
      <w:ind w:firstLine="0"/>
    </w:pPr>
  </w:style>
  <w:style w:type="paragraph" w:styleId="ListContinue3">
    <w:name w:val="List Continue 3"/>
    <w:basedOn w:val="List3"/>
    <w:rsid w:val="008507D1"/>
    <w:pPr>
      <w:ind w:left="1021" w:firstLine="0"/>
    </w:pPr>
  </w:style>
  <w:style w:type="paragraph" w:styleId="ListContinue4">
    <w:name w:val="List Continue 4"/>
    <w:basedOn w:val="List4"/>
    <w:rsid w:val="008507D1"/>
    <w:pPr>
      <w:ind w:firstLine="0"/>
    </w:pPr>
  </w:style>
  <w:style w:type="paragraph" w:styleId="ListContinue5">
    <w:name w:val="List Continue 5"/>
    <w:basedOn w:val="List5"/>
    <w:rsid w:val="008507D1"/>
    <w:pPr>
      <w:ind w:firstLine="0"/>
    </w:pPr>
  </w:style>
  <w:style w:type="paragraph" w:styleId="ListNumber3">
    <w:name w:val="List Number 3"/>
    <w:basedOn w:val="List3"/>
    <w:rsid w:val="008507D1"/>
    <w:pPr>
      <w:numPr>
        <w:numId w:val="6"/>
      </w:numPr>
    </w:pPr>
  </w:style>
  <w:style w:type="paragraph" w:styleId="ListNumber4">
    <w:name w:val="List Number 4"/>
    <w:basedOn w:val="List4"/>
    <w:rsid w:val="008507D1"/>
    <w:pPr>
      <w:numPr>
        <w:numId w:val="7"/>
      </w:numPr>
    </w:pPr>
  </w:style>
  <w:style w:type="paragraph" w:styleId="ListNumber5">
    <w:name w:val="List Number 5"/>
    <w:basedOn w:val="List5"/>
    <w:rsid w:val="008507D1"/>
    <w:pPr>
      <w:numPr>
        <w:numId w:val="8"/>
      </w:numPr>
    </w:pPr>
  </w:style>
  <w:style w:type="paragraph" w:styleId="BlockText">
    <w:name w:val="Block Text"/>
    <w:basedOn w:val="Normal"/>
    <w:rsid w:val="00850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7D1"/>
    <w:rPr>
      <w:sz w:val="16"/>
      <w:vertAlign w:val="superscript"/>
    </w:rPr>
  </w:style>
  <w:style w:type="character" w:customStyle="1" w:styleId="Symbols">
    <w:name w:val="Symbols"/>
    <w:basedOn w:val="DefaultParagraphFont"/>
    <w:rsid w:val="008507D1"/>
    <w:rPr>
      <w:rFonts w:ascii="Symbol" w:hAnsi="Symbol"/>
    </w:rPr>
  </w:style>
  <w:style w:type="character" w:customStyle="1" w:styleId="MenuOptions">
    <w:name w:val="Menu Options"/>
    <w:basedOn w:val="DefaultParagraphFont"/>
    <w:rsid w:val="00850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7D1"/>
    <w:rPr>
      <w:b/>
    </w:rPr>
  </w:style>
  <w:style w:type="character" w:customStyle="1" w:styleId="Underlined">
    <w:name w:val="Underlined"/>
    <w:basedOn w:val="DefaultParagraphFont"/>
    <w:rsid w:val="008507D1"/>
    <w:rPr>
      <w:u w:val="single"/>
    </w:rPr>
  </w:style>
  <w:style w:type="paragraph" w:customStyle="1" w:styleId="TableBodyTextRight">
    <w:name w:val="Table Body Text Right"/>
    <w:basedOn w:val="TableBodyText"/>
    <w:rsid w:val="00850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7D1"/>
    <w:rPr>
      <w:sz w:val="18"/>
    </w:rPr>
  </w:style>
  <w:style w:type="paragraph" w:customStyle="1" w:styleId="BodySmallRight">
    <w:name w:val="Body Small Right"/>
    <w:basedOn w:val="BodyTextRight"/>
    <w:rsid w:val="008507D1"/>
    <w:rPr>
      <w:sz w:val="18"/>
      <w:szCs w:val="18"/>
    </w:rPr>
  </w:style>
  <w:style w:type="paragraph" w:customStyle="1" w:styleId="MarginEdition">
    <w:name w:val="Margin Edition"/>
    <w:basedOn w:val="MarginNote"/>
    <w:rsid w:val="00850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7D1"/>
    <w:rPr>
      <w:sz w:val="2"/>
      <w:szCs w:val="2"/>
    </w:rPr>
  </w:style>
  <w:style w:type="character" w:customStyle="1" w:styleId="Small">
    <w:name w:val="Small"/>
    <w:basedOn w:val="DefaultParagraphFont"/>
    <w:rsid w:val="008507D1"/>
    <w:rPr>
      <w:sz w:val="16"/>
    </w:rPr>
  </w:style>
  <w:style w:type="paragraph" w:customStyle="1" w:styleId="WideTable">
    <w:name w:val="Wide Table"/>
    <w:basedOn w:val="Normal"/>
    <w:rsid w:val="00850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7D1"/>
  </w:style>
  <w:style w:type="paragraph" w:styleId="Quote">
    <w:name w:val="Quote"/>
    <w:basedOn w:val="Heading1"/>
    <w:link w:val="QuoteChar"/>
    <w:qFormat/>
    <w:rsid w:val="00850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7D1"/>
    <w:pPr>
      <w:pageBreakBefore/>
    </w:pPr>
  </w:style>
  <w:style w:type="paragraph" w:customStyle="1" w:styleId="Border">
    <w:name w:val="Border"/>
    <w:basedOn w:val="Normal"/>
    <w:qFormat/>
    <w:rsid w:val="00850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7D1"/>
    <w:rPr>
      <w:u w:val="single"/>
    </w:rPr>
  </w:style>
  <w:style w:type="character" w:customStyle="1" w:styleId="BoldandItalics">
    <w:name w:val="Bold and Italics"/>
    <w:qFormat/>
    <w:rsid w:val="008507D1"/>
    <w:rPr>
      <w:b/>
      <w:i/>
      <w:u w:val="none"/>
    </w:rPr>
  </w:style>
  <w:style w:type="paragraph" w:styleId="BalloonText">
    <w:name w:val="Balloon Text"/>
    <w:basedOn w:val="Normal"/>
    <w:link w:val="BalloonTextChar"/>
    <w:rsid w:val="00850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7D1"/>
    <w:pPr>
      <w:spacing w:before="0" w:after="0"/>
    </w:pPr>
  </w:style>
  <w:style w:type="paragraph" w:customStyle="1" w:styleId="BodyTextBold">
    <w:name w:val="Body Text Bold"/>
    <w:basedOn w:val="BodyText"/>
    <w:qFormat/>
    <w:rsid w:val="008507D1"/>
    <w:rPr>
      <w:b/>
    </w:rPr>
  </w:style>
  <w:style w:type="character" w:styleId="Hyperlink">
    <w:name w:val="Hyperlink"/>
    <w:basedOn w:val="DefaultParagraphFont"/>
    <w:uiPriority w:val="99"/>
    <w:unhideWhenUsed/>
    <w:rsid w:val="007B25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5962</Characters>
  <Application>Microsoft Office Word</Application>
  <DocSecurity>0</DocSecurity>
  <Lines>192</Lines>
  <Paragraphs>108</Paragraphs>
  <ScaleCrop>false</ScaleCrop>
  <Company>Author-it Software Corporation Ltd.</Company>
  <LinksUpToDate>false</LinksUpToDate>
  <CharactersWithSpaces>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CPPACC5001 Assess building work documentation for access compliance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2025-03-01T14:00:00Z</dcterms:created>
  <dcterms:modified xsi:type="dcterms:W3CDTF">2025-03-01T14:00:00Z</dcterms:modified>
</cp:coreProperties>
</file>