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6217" w:rsidP="007362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CPPACC4021 Provide access advice on the provision of services</w:t>
      </w:r>
      <w:r>
        <w:fldChar w:fldCharType="end"/>
      </w:r>
    </w:p>
    <w:p w:rsidR="00736217" w:rsidP="00736217">
      <w:pPr>
        <w:pStyle w:val="Version"/>
        <w:sectPr w:rsidSect="00DA1C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1C05" w:rsidP="00DA1C05">
      <w:pPr>
        <w:pStyle w:val="SuperHeading"/>
      </w:pPr>
      <w:r w:rsidRPr="00DA1C05">
        <w:t>Assessment Requirements for CPPACC4021 Provide access advice on the provision of services</w:t>
      </w:r>
    </w:p>
    <w:p w:rsidR="00000000" w:rsidRPr="00DA1C05" w:rsidP="00DA1C05">
      <w:pPr>
        <w:pStyle w:val="Heading1"/>
      </w:pPr>
      <w:bookmarkStart w:id="1" w:name="O_905039"/>
      <w:bookmarkEnd w:id="1"/>
      <w:r w:rsidRPr="00DA1C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A1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C05">
            <w:pPr>
              <w:pStyle w:val="BodyText"/>
              <w:rPr>
                <w:lang w:val="en-NZ"/>
              </w:rPr>
            </w:pPr>
            <w:r w:rsidRPr="00DA1C0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C05" w:rsidP="00DA1C05">
            <w:pPr>
              <w:pStyle w:val="BodyText"/>
            </w:pPr>
            <w:r w:rsidRPr="00DA1C05">
              <w:t>This unit first released with CPP Property Services Training Package Release 14.0.</w:t>
            </w:r>
          </w:p>
          <w:p w:rsidR="00000000" w:rsidRPr="00DA1C05" w:rsidP="00DA1C05">
            <w:pPr>
              <w:pStyle w:val="BodyText"/>
            </w:pPr>
            <w:r w:rsidRPr="00DA1C05">
              <w:t xml:space="preserve">Supersedes and is equivalent to CPPACC4021A Provide access advice on the provision of services.  </w:t>
            </w:r>
          </w:p>
          <w:p w:rsidR="00000000" w:rsidRPr="00DA1C05" w:rsidP="00DA1C05">
            <w:pPr>
              <w:pStyle w:val="BodyText"/>
            </w:pPr>
            <w:r w:rsidRPr="00DA1C05">
              <w:t xml:space="preserve">Unit updated to meet the Standards for Training Packages 2012. </w:t>
            </w:r>
          </w:p>
        </w:tc>
      </w:tr>
    </w:tbl>
    <w:p w:rsidR="00000000" w:rsidRPr="00DA1C05" w:rsidP="00DA1C05">
      <w:pPr>
        <w:pStyle w:val="BodyText"/>
      </w:pPr>
    </w:p>
    <w:p w:rsidR="00000000" w:rsidRPr="00DA1C05" w:rsidP="00DA1C05">
      <w:pPr>
        <w:pStyle w:val="AllowPageBreak"/>
      </w:pPr>
    </w:p>
    <w:p w:rsidR="00000000" w:rsidRPr="00DA1C05" w:rsidP="00DA1C05">
      <w:pPr>
        <w:pStyle w:val="Heading1"/>
      </w:pPr>
      <w:bookmarkStart w:id="2" w:name="O_905042"/>
      <w:bookmarkEnd w:id="2"/>
      <w:r w:rsidRPr="00DA1C05">
        <w:t>Performance Evidence</w:t>
      </w:r>
    </w:p>
    <w:p w:rsidR="00000000" w:rsidRPr="00DA1C05" w:rsidP="00736217">
      <w:pPr>
        <w:pStyle w:val="BodyText"/>
      </w:pPr>
      <w:r w:rsidRPr="00DA1C05">
        <w:t>To demonstrate competency, a candidate must meet the e</w:t>
      </w:r>
      <w:r w:rsidRPr="00DA1C05">
        <w:t xml:space="preserve">lements and performance criteria of this unit by providing written access advice to two different clients on their rights and obligations under the </w:t>
      </w:r>
      <w:r w:rsidRPr="00DA1C05">
        <w:rPr>
          <w:rStyle w:val="Emphasis"/>
        </w:rPr>
        <w:t>Disability Discrimination Act 1992</w:t>
      </w:r>
      <w:r w:rsidRPr="00DA1C05">
        <w:t xml:space="preserve"> (DDA) and relevant state and territory anti-discrimination legislation ap</w:t>
      </w:r>
      <w:r w:rsidRPr="00DA1C05">
        <w:t>plicable to their service provision.</w:t>
      </w:r>
    </w:p>
    <w:p w:rsidR="00000000" w:rsidRPr="00DA1C05" w:rsidP="00DA1C05">
      <w:pPr>
        <w:pStyle w:val="Heading1"/>
      </w:pPr>
      <w:bookmarkStart w:id="3" w:name="O_905041"/>
      <w:bookmarkEnd w:id="3"/>
      <w:r w:rsidRPr="00DA1C05">
        <w:t>Knowledge Evidence</w:t>
      </w:r>
    </w:p>
    <w:p w:rsidR="00000000" w:rsidRPr="00DA1C05" w:rsidP="00736217">
      <w:pPr>
        <w:pStyle w:val="BodyText"/>
      </w:pPr>
      <w:r w:rsidRPr="00DA1C05">
        <w:t>To be competent in this unit, a candidate must demonstrate knowledge of:</w:t>
      </w:r>
    </w:p>
    <w:p w:rsidR="00000000" w:rsidRPr="00DA1C05" w:rsidP="00DA1C05">
      <w:pPr>
        <w:pStyle w:val="ListBullet"/>
      </w:pPr>
      <w:r w:rsidRPr="00DA1C05">
        <w:t xml:space="preserve">Commonwealth, state and territory legislation, regulations, codes and standards relevant to providing access </w:t>
      </w:r>
      <w:r w:rsidRPr="00DA1C05">
        <w:t>advice on service provision:</w:t>
      </w:r>
    </w:p>
    <w:p w:rsidR="00000000" w:rsidRPr="00DA1C05" w:rsidP="00DA1C05">
      <w:pPr>
        <w:pStyle w:val="ListBullet2"/>
      </w:pPr>
      <w:r w:rsidRPr="00DA1C05">
        <w:t>anti-discrimination and disability discrimination</w:t>
      </w:r>
    </w:p>
    <w:p w:rsidR="00000000" w:rsidRPr="00DA1C05" w:rsidP="00DA1C05">
      <w:pPr>
        <w:pStyle w:val="ListBullet2"/>
      </w:pPr>
      <w:r w:rsidRPr="00DA1C05">
        <w:t>building control including local government regulations and by-laws</w:t>
      </w:r>
    </w:p>
    <w:p w:rsidR="00000000" w:rsidRPr="00DA1C05" w:rsidP="00DA1C05">
      <w:pPr>
        <w:pStyle w:val="ListBullet2"/>
      </w:pPr>
      <w:r w:rsidRPr="00DA1C05">
        <w:t>National Construction Code (NCC) building classifications and access requirements</w:t>
      </w:r>
    </w:p>
    <w:p w:rsidR="00000000" w:rsidRPr="00DA1C05" w:rsidP="00DA1C05">
      <w:pPr>
        <w:pStyle w:val="ListBullet2"/>
      </w:pPr>
      <w:r w:rsidRPr="00DA1C05">
        <w:t>National Disability Insurance Scheme (NDIS) Specialist Disability Accommodation Design Standard (or its successor)</w:t>
      </w:r>
    </w:p>
    <w:p w:rsidR="00000000" w:rsidRPr="00DA1C05" w:rsidP="00DA1C05">
      <w:pPr>
        <w:pStyle w:val="ListBullet2"/>
      </w:pPr>
      <w:r w:rsidRPr="00DA1C05">
        <w:t>Livable Housing Australia Livable Housing Design Guidelines (or its successor)</w:t>
      </w:r>
    </w:p>
    <w:p w:rsidR="00000000" w:rsidRPr="00DA1C05" w:rsidP="00DA1C05">
      <w:pPr>
        <w:pStyle w:val="ListBullet2"/>
      </w:pPr>
      <w:r w:rsidRPr="00DA1C05">
        <w:t>principles of universal design</w:t>
      </w:r>
    </w:p>
    <w:p w:rsidR="00000000" w:rsidRPr="00DA1C05" w:rsidP="00DA1C05">
      <w:pPr>
        <w:pStyle w:val="ListBullet2"/>
      </w:pPr>
      <w:r w:rsidRPr="00DA1C05">
        <w:t>privacy and confidentiality</w:t>
      </w:r>
    </w:p>
    <w:p w:rsidR="00000000" w:rsidRPr="00DA1C05" w:rsidP="00DA1C05">
      <w:pPr>
        <w:pStyle w:val="ListBullet"/>
      </w:pPr>
      <w:r w:rsidRPr="00DA1C05">
        <w:t>co</w:t>
      </w:r>
      <w:r w:rsidRPr="00DA1C05">
        <w:t>nsultation processes</w:t>
      </w:r>
    </w:p>
    <w:p w:rsidR="00000000" w:rsidRPr="00DA1C05" w:rsidP="00DA1C05">
      <w:pPr>
        <w:pStyle w:val="ListBullet"/>
      </w:pPr>
      <w:r w:rsidRPr="00DA1C05">
        <w:t>interpersonal skills and communication techniques used to:</w:t>
      </w:r>
    </w:p>
    <w:p w:rsidR="00000000" w:rsidRPr="00DA1C05" w:rsidP="00DA1C05">
      <w:pPr>
        <w:pStyle w:val="ListBullet2"/>
      </w:pPr>
      <w:r w:rsidRPr="00DA1C05">
        <w:t>effectively relate to people from a range of social, cultural and ethnic backgrounds and with a range of physical and cognitive abilities</w:t>
      </w:r>
    </w:p>
    <w:p w:rsidR="00000000" w:rsidRPr="00DA1C05" w:rsidP="00DA1C05">
      <w:pPr>
        <w:pStyle w:val="ListBullet2"/>
      </w:pPr>
      <w:r w:rsidRPr="00DA1C05">
        <w:t xml:space="preserve">facilitate the exchange of ideas and </w:t>
      </w:r>
      <w:r w:rsidRPr="00DA1C05">
        <w:t>information on issues related to the provision of services</w:t>
      </w:r>
    </w:p>
    <w:p w:rsidR="00000000" w:rsidRPr="00DA1C05" w:rsidP="00DA1C05">
      <w:pPr>
        <w:pStyle w:val="ListBullet"/>
      </w:pPr>
      <w:r w:rsidRPr="00DA1C05">
        <w:t>methods for identifying issues associated with the provision of services</w:t>
      </w:r>
    </w:p>
    <w:p w:rsidR="00000000" w:rsidRPr="00DA1C05" w:rsidP="00DA1C05">
      <w:pPr>
        <w:pStyle w:val="ListBullet"/>
      </w:pPr>
      <w:r w:rsidRPr="00DA1C05">
        <w:t>research techniques and methodologies</w:t>
      </w:r>
    </w:p>
    <w:p w:rsidR="00000000" w:rsidRPr="00DA1C05" w:rsidP="00DA1C05">
      <w:pPr>
        <w:pStyle w:val="ListBullet"/>
      </w:pPr>
      <w:r w:rsidRPr="00DA1C05">
        <w:t>types of disability and limitations that each disability places on an individual’s ab</w:t>
      </w:r>
      <w:r w:rsidRPr="00DA1C05">
        <w:t>ility to access the environment</w:t>
      </w:r>
    </w:p>
    <w:p w:rsidR="00000000" w:rsidRPr="00DA1C05" w:rsidP="00DA1C05">
      <w:pPr>
        <w:pStyle w:val="ListBullet"/>
      </w:pPr>
      <w:r w:rsidRPr="00DA1C05">
        <w:t>ways to address areas of regulatory non-compliance associated with the provision of services</w:t>
      </w:r>
    </w:p>
    <w:p w:rsidR="00000000" w:rsidRPr="00DA1C05" w:rsidP="00DA1C05">
      <w:pPr>
        <w:pStyle w:val="ListBullet"/>
      </w:pPr>
      <w:r w:rsidRPr="00DA1C05">
        <w:t>workplace requirements for providing access advice on the provision of services:</w:t>
      </w:r>
    </w:p>
    <w:p w:rsidR="00000000" w:rsidRPr="00DA1C05" w:rsidP="00DA1C05">
      <w:pPr>
        <w:pStyle w:val="ListBullet2"/>
      </w:pPr>
      <w:r w:rsidRPr="00DA1C05">
        <w:t>client service</w:t>
      </w:r>
    </w:p>
    <w:p w:rsidR="00000000" w:rsidRPr="00DA1C05" w:rsidP="00DA1C05">
      <w:pPr>
        <w:pStyle w:val="ListBullet2"/>
      </w:pPr>
      <w:r w:rsidRPr="00DA1C05">
        <w:t>documentation, reports and records administration</w:t>
      </w:r>
    </w:p>
    <w:p w:rsidR="00000000" w:rsidRPr="00DA1C05" w:rsidP="00DA1C05">
      <w:pPr>
        <w:pStyle w:val="ListBullet2"/>
      </w:pPr>
      <w:r w:rsidRPr="00DA1C05">
        <w:t>content and format of access reports on provision of services</w:t>
      </w:r>
    </w:p>
    <w:p w:rsidR="00000000" w:rsidRPr="00DA1C05" w:rsidP="00DA1C05">
      <w:pPr>
        <w:pStyle w:val="ListBullet2"/>
      </w:pPr>
      <w:r w:rsidRPr="00DA1C05">
        <w:t>work role boundaries - responsibilities, limitations and professional abilities.</w:t>
      </w:r>
    </w:p>
    <w:p w:rsidR="00000000" w:rsidRPr="00DA1C05" w:rsidP="00DA1C05">
      <w:pPr>
        <w:pStyle w:val="AllowPageBreak"/>
      </w:pPr>
    </w:p>
    <w:p w:rsidR="00000000" w:rsidRPr="00DA1C05" w:rsidP="00DA1C05">
      <w:pPr>
        <w:pStyle w:val="Heading1"/>
      </w:pPr>
      <w:bookmarkStart w:id="4" w:name="O_905040"/>
      <w:bookmarkEnd w:id="4"/>
      <w:r w:rsidRPr="00DA1C05">
        <w:t>Assessment Conditions</w:t>
      </w:r>
    </w:p>
    <w:p w:rsidR="00000000" w:rsidRPr="00DA1C05" w:rsidP="00736217">
      <w:pPr>
        <w:pStyle w:val="BodyText"/>
      </w:pPr>
      <w:r w:rsidRPr="00DA1C05">
        <w:t xml:space="preserve">Assessors must meet the </w:t>
      </w:r>
      <w:r w:rsidRPr="00DA1C05">
        <w:t xml:space="preserve">requirements for assessors contained in the Standards for Registered Training Organisations. </w:t>
      </w:r>
    </w:p>
    <w:p w:rsidR="00000000" w:rsidRPr="00DA1C05" w:rsidP="00736217">
      <w:pPr>
        <w:pStyle w:val="BodyText"/>
      </w:pPr>
      <w:r w:rsidRPr="00DA1C05">
        <w:t>Assessment must be conducted in the workplace or a simulated workplace using realistic conditions, materials, activities, responsibilities, procedures, safety req</w:t>
      </w:r>
      <w:r w:rsidRPr="00DA1C05">
        <w:t>uirements and environmental considerations.</w:t>
      </w:r>
    </w:p>
    <w:p w:rsidR="00000000" w:rsidRPr="00DA1C05" w:rsidP="00736217">
      <w:pPr>
        <w:pStyle w:val="BodyText"/>
      </w:pPr>
      <w:r w:rsidRPr="00DA1C05">
        <w:t>Candidates must have access to documentation, information and technologies required to achieve the performance criteria and performance evidence.</w:t>
      </w:r>
    </w:p>
    <w:p w:rsidR="00000000" w:rsidRPr="00DA1C05" w:rsidP="00DA1C05">
      <w:pPr>
        <w:pStyle w:val="Heading1"/>
      </w:pPr>
      <w:bookmarkStart w:id="5" w:name="O_905038"/>
      <w:bookmarkEnd w:id="5"/>
      <w:r w:rsidRPr="00DA1C05">
        <w:t>Links</w:t>
      </w:r>
    </w:p>
    <w:p w:rsidR="00000000" w:rsidRPr="00DA1C05" w:rsidP="00736217">
      <w:pPr>
        <w:pStyle w:val="BodyText"/>
      </w:pPr>
      <w:r w:rsidRPr="00DA1C05">
        <w:t xml:space="preserve">Companion Volume implementation guides are </w:t>
      </w:r>
      <w:r w:rsidRPr="00DA1C05">
        <w:t xml:space="preserve">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1640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A1C05" w:rsidP="00DA1C05"/>
    <w:sectPr w:rsidSect="00DA1C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C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C05" w:rsidRPr="00736217" w:rsidP="007362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C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217" w:rsidP="00DA1C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6217" w:rsidP="00DA1C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36217" w:rsidP="00DA1C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C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2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1C05" w:rsidRPr="00736217" w:rsidP="007362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C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217" w:rsidRPr="002D2AF8" w:rsidP="00DA1C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CPPACC4021 Provide access advice on the provision of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36217" w:rsidP="00DA1C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6882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5C6F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FC67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C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1C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1C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1C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1C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1C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1C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1C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1C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1C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1C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1C05"/>
  </w:style>
  <w:style w:type="character" w:customStyle="1" w:styleId="Heading1Char">
    <w:name w:val="Heading 1 Char"/>
    <w:basedOn w:val="DefaultParagraphFont"/>
    <w:link w:val="Heading1"/>
    <w:rsid w:val="00DA1C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1C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1C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1C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1C0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1C05"/>
    <w:rPr>
      <w:i/>
    </w:rPr>
  </w:style>
  <w:style w:type="paragraph" w:customStyle="1" w:styleId="SuperHeading">
    <w:name w:val="SuperHeading"/>
    <w:basedOn w:val="Normal"/>
    <w:rsid w:val="00DA1C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1C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1C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1C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1C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1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1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1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1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1C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1C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1C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1C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1C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1C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1C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1C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1C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1C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1C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1C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1C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1C05"/>
    <w:rPr>
      <w:b/>
      <w:spacing w:val="0"/>
    </w:rPr>
  </w:style>
  <w:style w:type="paragraph" w:customStyle="1" w:styleId="SuperTitle">
    <w:name w:val="SuperTitle"/>
    <w:basedOn w:val="Title"/>
    <w:rsid w:val="00DA1C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1C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1C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1C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1C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1C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1C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1C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1C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1C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1C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1C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1C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1C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1C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1C05"/>
  </w:style>
  <w:style w:type="paragraph" w:styleId="TableofFigures">
    <w:name w:val="table of figures"/>
    <w:basedOn w:val="Normal"/>
    <w:next w:val="Normal"/>
    <w:semiHidden/>
    <w:rsid w:val="00DA1C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1C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1C05"/>
    <w:rPr>
      <w:rFonts w:ascii="Wingdings" w:hAnsi="Wingdings"/>
    </w:rPr>
  </w:style>
  <w:style w:type="paragraph" w:customStyle="1" w:styleId="TableHeading">
    <w:name w:val="Table Heading"/>
    <w:basedOn w:val="HeadingBase"/>
    <w:rsid w:val="00DA1C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1C05"/>
    <w:rPr>
      <w:color w:val="0033CC"/>
      <w:u w:val="none"/>
    </w:rPr>
  </w:style>
  <w:style w:type="paragraph" w:customStyle="1" w:styleId="BodyTextRight">
    <w:name w:val="Body Text Right"/>
    <w:basedOn w:val="BodyText"/>
    <w:rsid w:val="00DA1C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1C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1C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1C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1C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1C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1C05"/>
    <w:rPr>
      <w:sz w:val="32"/>
    </w:rPr>
  </w:style>
  <w:style w:type="paragraph" w:customStyle="1" w:styleId="HeadingProcedure">
    <w:name w:val="Heading Procedure"/>
    <w:basedOn w:val="HeadingBase"/>
    <w:next w:val="Normal"/>
    <w:rsid w:val="00DA1C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1C05"/>
    <w:pPr>
      <w:spacing w:before="60" w:after="60"/>
    </w:pPr>
  </w:style>
  <w:style w:type="paragraph" w:styleId="ListContinue">
    <w:name w:val="List Continue"/>
    <w:basedOn w:val="List"/>
    <w:rsid w:val="00DA1C05"/>
    <w:pPr>
      <w:ind w:firstLine="0"/>
    </w:pPr>
  </w:style>
  <w:style w:type="paragraph" w:customStyle="1" w:styleId="ListNote">
    <w:name w:val="List Note"/>
    <w:basedOn w:val="List"/>
    <w:rsid w:val="00DA1C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1C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1C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1C05"/>
    <w:rPr>
      <w:rFonts w:ascii="Courier New" w:hAnsi="Courier New"/>
    </w:rPr>
  </w:style>
  <w:style w:type="paragraph" w:customStyle="1" w:styleId="NoteBullet">
    <w:name w:val="Note Bullet"/>
    <w:basedOn w:val="Note"/>
    <w:rsid w:val="00DA1C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1C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1C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1C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1C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1C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1C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1C05"/>
    <w:rPr>
      <w:b/>
      <w:smallCaps/>
    </w:rPr>
  </w:style>
  <w:style w:type="paragraph" w:customStyle="1" w:styleId="TableListNumber">
    <w:name w:val="Table List Number"/>
    <w:basedOn w:val="ListNumber"/>
    <w:rsid w:val="00DA1C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1C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1C05"/>
    <w:pPr>
      <w:numPr>
        <w:numId w:val="9"/>
      </w:numPr>
    </w:pPr>
  </w:style>
  <w:style w:type="paragraph" w:customStyle="1" w:styleId="ListAlpha2">
    <w:name w:val="List Alpha 2"/>
    <w:basedOn w:val="List2"/>
    <w:rsid w:val="00DA1C05"/>
    <w:pPr>
      <w:numPr>
        <w:numId w:val="8"/>
      </w:numPr>
    </w:pPr>
  </w:style>
  <w:style w:type="paragraph" w:styleId="List2">
    <w:name w:val="List 2"/>
    <w:basedOn w:val="BodyText"/>
    <w:rsid w:val="00DA1C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1C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1C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1C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1C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1C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1C05"/>
    <w:pPr>
      <w:numPr>
        <w:numId w:val="4"/>
      </w:numPr>
    </w:pPr>
  </w:style>
  <w:style w:type="paragraph" w:styleId="ListContinue2">
    <w:name w:val="List Continue 2"/>
    <w:basedOn w:val="List2"/>
    <w:rsid w:val="00DA1C05"/>
    <w:pPr>
      <w:ind w:firstLine="0"/>
    </w:pPr>
  </w:style>
  <w:style w:type="paragraph" w:styleId="ListContinue3">
    <w:name w:val="List Continue 3"/>
    <w:basedOn w:val="List3"/>
    <w:rsid w:val="00DA1C05"/>
    <w:pPr>
      <w:ind w:left="1021" w:firstLine="0"/>
    </w:pPr>
  </w:style>
  <w:style w:type="paragraph" w:styleId="ListContinue4">
    <w:name w:val="List Continue 4"/>
    <w:basedOn w:val="List4"/>
    <w:rsid w:val="00DA1C05"/>
    <w:pPr>
      <w:ind w:firstLine="0"/>
    </w:pPr>
  </w:style>
  <w:style w:type="paragraph" w:styleId="ListContinue5">
    <w:name w:val="List Continue 5"/>
    <w:basedOn w:val="List5"/>
    <w:rsid w:val="00DA1C05"/>
    <w:pPr>
      <w:ind w:firstLine="0"/>
    </w:pPr>
  </w:style>
  <w:style w:type="paragraph" w:styleId="ListNumber3">
    <w:name w:val="List Number 3"/>
    <w:basedOn w:val="List3"/>
    <w:rsid w:val="00DA1C05"/>
    <w:pPr>
      <w:numPr>
        <w:numId w:val="5"/>
      </w:numPr>
    </w:pPr>
  </w:style>
  <w:style w:type="paragraph" w:styleId="ListNumber4">
    <w:name w:val="List Number 4"/>
    <w:basedOn w:val="List4"/>
    <w:rsid w:val="00DA1C05"/>
    <w:pPr>
      <w:numPr>
        <w:numId w:val="6"/>
      </w:numPr>
    </w:pPr>
  </w:style>
  <w:style w:type="paragraph" w:styleId="ListNumber5">
    <w:name w:val="List Number 5"/>
    <w:basedOn w:val="List5"/>
    <w:rsid w:val="00DA1C05"/>
    <w:pPr>
      <w:numPr>
        <w:numId w:val="7"/>
      </w:numPr>
    </w:pPr>
  </w:style>
  <w:style w:type="paragraph" w:styleId="BlockText">
    <w:name w:val="Block Text"/>
    <w:basedOn w:val="Normal"/>
    <w:rsid w:val="00DA1C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1C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1C05"/>
    <w:rPr>
      <w:sz w:val="16"/>
      <w:vertAlign w:val="superscript"/>
    </w:rPr>
  </w:style>
  <w:style w:type="character" w:customStyle="1" w:styleId="Symbols">
    <w:name w:val="Symbols"/>
    <w:basedOn w:val="DefaultParagraphFont"/>
    <w:rsid w:val="00DA1C05"/>
    <w:rPr>
      <w:rFonts w:ascii="Symbol" w:hAnsi="Symbol"/>
    </w:rPr>
  </w:style>
  <w:style w:type="character" w:customStyle="1" w:styleId="MenuOptions">
    <w:name w:val="Menu Options"/>
    <w:basedOn w:val="DefaultParagraphFont"/>
    <w:rsid w:val="00DA1C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1C05"/>
    <w:rPr>
      <w:b/>
    </w:rPr>
  </w:style>
  <w:style w:type="character" w:customStyle="1" w:styleId="Underlined">
    <w:name w:val="Underlined"/>
    <w:basedOn w:val="DefaultParagraphFont"/>
    <w:rsid w:val="00DA1C05"/>
    <w:rPr>
      <w:u w:val="single"/>
    </w:rPr>
  </w:style>
  <w:style w:type="paragraph" w:customStyle="1" w:styleId="TableBodyTextRight">
    <w:name w:val="Table Body Text Right"/>
    <w:basedOn w:val="TableBodyText"/>
    <w:rsid w:val="00DA1C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1C05"/>
    <w:rPr>
      <w:sz w:val="18"/>
    </w:rPr>
  </w:style>
  <w:style w:type="paragraph" w:customStyle="1" w:styleId="BodySmallRight">
    <w:name w:val="Body Small Right"/>
    <w:basedOn w:val="BodyTextRight"/>
    <w:rsid w:val="00DA1C05"/>
    <w:rPr>
      <w:sz w:val="18"/>
      <w:szCs w:val="18"/>
    </w:rPr>
  </w:style>
  <w:style w:type="paragraph" w:customStyle="1" w:styleId="MarginEdition">
    <w:name w:val="Margin Edition"/>
    <w:basedOn w:val="MarginNote"/>
    <w:rsid w:val="00DA1C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1C05"/>
    <w:rPr>
      <w:sz w:val="2"/>
      <w:szCs w:val="2"/>
    </w:rPr>
  </w:style>
  <w:style w:type="character" w:customStyle="1" w:styleId="Small">
    <w:name w:val="Small"/>
    <w:basedOn w:val="DefaultParagraphFont"/>
    <w:rsid w:val="00DA1C05"/>
    <w:rPr>
      <w:sz w:val="16"/>
    </w:rPr>
  </w:style>
  <w:style w:type="paragraph" w:customStyle="1" w:styleId="WideTable">
    <w:name w:val="Wide Table"/>
    <w:basedOn w:val="Normal"/>
    <w:rsid w:val="00DA1C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1C05"/>
  </w:style>
  <w:style w:type="paragraph" w:styleId="Quote">
    <w:name w:val="Quote"/>
    <w:basedOn w:val="Heading1"/>
    <w:link w:val="QuoteChar"/>
    <w:qFormat/>
    <w:rsid w:val="00DA1C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1C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1C05"/>
    <w:pPr>
      <w:pageBreakBefore/>
    </w:pPr>
  </w:style>
  <w:style w:type="paragraph" w:customStyle="1" w:styleId="Border">
    <w:name w:val="Border"/>
    <w:basedOn w:val="Normal"/>
    <w:qFormat/>
    <w:rsid w:val="00DA1C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1C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C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C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1C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1C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1C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1C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1C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1C05"/>
    <w:rPr>
      <w:u w:val="single"/>
    </w:rPr>
  </w:style>
  <w:style w:type="character" w:customStyle="1" w:styleId="BoldandItalics">
    <w:name w:val="Bold and Italics"/>
    <w:qFormat/>
    <w:rsid w:val="00DA1C05"/>
    <w:rPr>
      <w:b/>
      <w:i/>
      <w:u w:val="none"/>
    </w:rPr>
  </w:style>
  <w:style w:type="paragraph" w:styleId="BalloonText">
    <w:name w:val="Balloon Text"/>
    <w:basedOn w:val="Normal"/>
    <w:link w:val="BalloonTextChar"/>
    <w:rsid w:val="00DA1C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1C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1C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1C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1C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1C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1C05"/>
    <w:pPr>
      <w:spacing w:before="0" w:after="0"/>
    </w:pPr>
  </w:style>
  <w:style w:type="paragraph" w:customStyle="1" w:styleId="BodyTextBold">
    <w:name w:val="Body Text Bold"/>
    <w:basedOn w:val="BodyText"/>
    <w:qFormat/>
    <w:rsid w:val="00DA1C05"/>
    <w:rPr>
      <w:b/>
    </w:rPr>
  </w:style>
  <w:style w:type="character" w:styleId="Hyperlink">
    <w:name w:val="Hyperlink"/>
    <w:basedOn w:val="DefaultParagraphFont"/>
    <w:uiPriority w:val="99"/>
    <w:unhideWhenUsed/>
    <w:rsid w:val="007362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2849</Characters>
  <Application>Microsoft Office Word</Application>
  <DocSecurity>0</DocSecurity>
  <Lines>67</Lines>
  <Paragraphs>46</Paragraphs>
  <ScaleCrop>false</ScaleCrop>
  <Company>Author-it Software Corporation Ltd.</Company>
  <LinksUpToDate>false</LinksUpToDate>
  <CharactersWithSpaces>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CPPACC4021 Provide access advice on the provision of services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2022-12-19T06:50:00Z</dcterms:created>
  <dcterms:modified xsi:type="dcterms:W3CDTF">2022-12-19T06:50:00Z</dcterms:modified>
</cp:coreProperties>
</file>