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167" w:rsidP="00093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CPPACC4020 Provide access advice on building renovations</w:t>
      </w:r>
      <w:r>
        <w:fldChar w:fldCharType="end"/>
      </w:r>
    </w:p>
    <w:p w:rsidR="00093167" w:rsidP="00093167">
      <w:pPr>
        <w:pStyle w:val="Version"/>
        <w:sectPr w:rsidSect="00D41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7AC" w:rsidP="00D417AC">
      <w:pPr>
        <w:pStyle w:val="SuperHeading"/>
      </w:pPr>
      <w:r w:rsidRPr="00D417AC">
        <w:t>CPPACC4020 Provide access advice on building renovations</w:t>
      </w:r>
    </w:p>
    <w:p w:rsidR="00000000" w:rsidRPr="00D417AC" w:rsidP="00D417AC">
      <w:pPr>
        <w:pStyle w:val="Heading1"/>
      </w:pPr>
      <w:bookmarkStart w:id="1" w:name="O_905006"/>
      <w:bookmarkEnd w:id="1"/>
      <w:r w:rsidRPr="00D417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AC" w:rsidP="00D417AC">
            <w:pPr>
              <w:pStyle w:val="BodyText"/>
            </w:pPr>
            <w:r w:rsidRPr="00D417AC">
              <w:t>This unit first released with CPP Property Services Training Package Release 14.0.</w:t>
            </w:r>
          </w:p>
          <w:p w:rsidR="00000000" w:rsidRPr="00D417AC" w:rsidP="00D417AC">
            <w:pPr>
              <w:pStyle w:val="BodyText"/>
            </w:pPr>
            <w:r w:rsidRPr="00D417AC">
              <w:t>Supersedes and is equivalent to CPPACC4020A Provide access advice on building renovations.</w:t>
            </w:r>
          </w:p>
          <w:p w:rsidR="00000000" w:rsidRPr="00D417AC" w:rsidP="00D417AC">
            <w:pPr>
              <w:pStyle w:val="BodyText"/>
            </w:pPr>
            <w:r w:rsidRPr="00D417AC">
              <w:t xml:space="preserve">Unit updated to meet the Standards </w:t>
            </w:r>
            <w:r w:rsidRPr="00D417AC">
              <w:t>for Training Packages 2012.</w:t>
            </w:r>
          </w:p>
        </w:tc>
      </w:tr>
    </w:tbl>
    <w:p w:rsidR="00000000" w:rsidRPr="00D417AC" w:rsidP="00D417AC">
      <w:pPr>
        <w:pStyle w:val="BodyText"/>
      </w:pPr>
    </w:p>
    <w:p w:rsidR="00000000" w:rsidRPr="00D417AC" w:rsidP="00D417AC">
      <w:pPr>
        <w:pStyle w:val="AllowPageBreak"/>
      </w:pPr>
    </w:p>
    <w:p w:rsidR="00000000" w:rsidRPr="00D417AC" w:rsidP="00D417AC">
      <w:pPr>
        <w:pStyle w:val="Heading1"/>
      </w:pPr>
      <w:bookmarkStart w:id="2" w:name="O_905014"/>
      <w:bookmarkEnd w:id="2"/>
      <w:r w:rsidRPr="00D417AC">
        <w:t>Application</w:t>
      </w:r>
    </w:p>
    <w:p w:rsidR="00000000" w:rsidRPr="00D417AC" w:rsidP="00093167">
      <w:pPr>
        <w:pStyle w:val="BodyText"/>
      </w:pPr>
      <w:r w:rsidRPr="00D417AC">
        <w:t>This unit of competency specifies the skills and knowledge required to provide advice on building renovations to achieve optimum access to existing buildings for people with disability. This advice</w:t>
      </w:r>
      <w:r w:rsidRPr="00D417AC">
        <w:t xml:space="preserve"> is required in situations where regulatory compliance can be achieved as well as where compliance cannot be achieved due to pre-existing conditions. The unit includes preparing a building renovations access report.</w:t>
      </w:r>
    </w:p>
    <w:p w:rsidR="00000000" w:rsidRPr="00D417AC" w:rsidP="00093167">
      <w:pPr>
        <w:pStyle w:val="BodyText"/>
      </w:pPr>
      <w:r w:rsidRPr="00D417AC">
        <w:t>This unit is for individuals who work in</w:t>
      </w:r>
      <w:r w:rsidRPr="00D417AC">
        <w:t>dependently using specialised knowledge to conduct a range of access consulting services.</w:t>
      </w:r>
    </w:p>
    <w:p w:rsidR="00000000" w:rsidRPr="00D417AC" w:rsidP="00093167">
      <w:pPr>
        <w:pStyle w:val="BodyText"/>
      </w:pPr>
      <w:r w:rsidRPr="00D417AC">
        <w:t>No licensing, legislative or certification requirements apply to this unit at the time of publication.</w:t>
      </w:r>
    </w:p>
    <w:p w:rsidR="00000000" w:rsidRPr="00D417AC" w:rsidP="00D417AC">
      <w:pPr>
        <w:pStyle w:val="Heading1"/>
      </w:pPr>
      <w:bookmarkStart w:id="3" w:name="O_905013"/>
      <w:bookmarkEnd w:id="3"/>
      <w:r w:rsidRPr="00D417AC">
        <w:t>Pre-requisite Unit</w:t>
      </w:r>
    </w:p>
    <w:p w:rsidR="00000000" w:rsidRPr="00D417AC" w:rsidP="00093167">
      <w:pPr>
        <w:pStyle w:val="BodyText"/>
      </w:pPr>
      <w:r w:rsidRPr="00D417AC">
        <w:t>Nil.</w:t>
      </w:r>
    </w:p>
    <w:p w:rsidR="00000000" w:rsidRPr="00D417AC" w:rsidP="00D417AC">
      <w:pPr>
        <w:pStyle w:val="Heading1"/>
      </w:pPr>
      <w:bookmarkStart w:id="4" w:name="O_905011"/>
      <w:bookmarkEnd w:id="4"/>
      <w:r w:rsidRPr="00D417AC">
        <w:t xml:space="preserve">Unit </w:t>
      </w:r>
      <w:r w:rsidRPr="00D417AC">
        <w:t>Sector</w:t>
      </w:r>
    </w:p>
    <w:p w:rsidR="00000000" w:rsidRPr="00D417AC" w:rsidP="00093167">
      <w:pPr>
        <w:pStyle w:val="BodyText"/>
      </w:pPr>
      <w:r w:rsidRPr="00D417AC">
        <w:t>Access Consulting.</w:t>
      </w:r>
    </w:p>
    <w:p w:rsidR="00000000" w:rsidRPr="00D417AC" w:rsidP="00D417AC">
      <w:pPr>
        <w:pStyle w:val="Heading1"/>
      </w:pPr>
      <w:bookmarkStart w:id="5" w:name="O_905010"/>
      <w:bookmarkEnd w:id="5"/>
      <w:r w:rsidRPr="00D417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Performance criteria describe what needs to be done to demonstrate achievement of the element.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Identify areas of building requiring modification to achieve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Interpret plans and associated documentation to assess building method of construction and renovation requirements.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 xml:space="preserve">Establish class of building to be renovated according to </w:t>
            </w:r>
            <w:r w:rsidRPr="00D417AC">
              <w:t>the National Construction Code (NCC).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Determine building areas that require modification to achieve compliant access according to regulatory requirements.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Identify building elements tha</w:t>
            </w:r>
            <w:r w:rsidRPr="00D417AC">
              <w:t>t require modification to achieve compliant level of access according to regulatory and workplace requirements.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Provide advice on renovation process to achieve compliant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Consult with relevant persons to identify appropriate steps in the renovation process to achieve compliant access.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Consult with client to discuss proposed renovation process and explain the extent to which compliant access can be achieved.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Provide advice on building areas where pre-existing conditions prevent compliant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Identify and document non-compliant areas and elements unable to be modified due to pre-existing conditions.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Consult with relevant persons to ident</w:t>
            </w:r>
            <w:r w:rsidRPr="00D417AC">
              <w:t>ify renovation options for upgrade where pre-existing conditions prevent modification to full compliance.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Report on building renovations.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Prepare building renovations access report to meet client contractual arrangements and workplace requirements.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Review draft building renovations access report in consultation with relevant persons and incorporate feedback into final report.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Forward building renovations access report to client according to contractual arrangements.</w:t>
            </w:r>
          </w:p>
        </w:tc>
      </w:tr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AC" w:rsidP="00D417AC">
            <w:pPr>
              <w:pStyle w:val="BodyText"/>
            </w:pPr>
            <w:r w:rsidRPr="00D417AC">
              <w:t>Maintain copies of building renovations access report and associated documentation for future reference according to regulatory and workplace requirements.</w:t>
            </w:r>
          </w:p>
        </w:tc>
      </w:tr>
    </w:tbl>
    <w:p w:rsidR="00000000" w:rsidRPr="00D417AC" w:rsidP="00D417AC">
      <w:pPr>
        <w:pStyle w:val="BodyText"/>
      </w:pPr>
    </w:p>
    <w:p w:rsidR="00000000" w:rsidRPr="00D417AC" w:rsidP="00D417AC">
      <w:pPr>
        <w:pStyle w:val="AllowPageBreak"/>
      </w:pPr>
    </w:p>
    <w:p w:rsidR="00000000" w:rsidRPr="00D417AC" w:rsidP="00D417AC">
      <w:pPr>
        <w:pStyle w:val="Heading1"/>
      </w:pPr>
      <w:bookmarkStart w:id="6" w:name="O_905009"/>
      <w:bookmarkEnd w:id="6"/>
      <w:r w:rsidRPr="00D417AC">
        <w:t>Foundation Skills</w:t>
      </w:r>
    </w:p>
    <w:p w:rsidR="00000000" w:rsidRPr="00D417AC" w:rsidP="00093167">
      <w:pPr>
        <w:pStyle w:val="BodyText"/>
      </w:pPr>
      <w:r w:rsidRPr="00D417AC">
        <w:t>Foundation skills essential to performance are explicit in the performance criteria of this unit of competency.</w:t>
      </w:r>
    </w:p>
    <w:p w:rsidR="00000000" w:rsidRPr="00D417AC" w:rsidP="00D417AC">
      <w:pPr>
        <w:pStyle w:val="Heading1"/>
      </w:pPr>
      <w:bookmarkStart w:id="7" w:name="O_905007"/>
      <w:bookmarkEnd w:id="7"/>
      <w:r w:rsidRPr="00D417AC">
        <w:t>Unit Mapping Information</w:t>
      </w:r>
    </w:p>
    <w:p w:rsidR="00000000" w:rsidRPr="00D417AC" w:rsidP="00093167">
      <w:pPr>
        <w:pStyle w:val="BodyText"/>
      </w:pPr>
      <w:r w:rsidRPr="00D417AC">
        <w:t xml:space="preserve">Supersedes and is equivalent to CPPACC4020A Provide access advice </w:t>
      </w:r>
      <w:r w:rsidRPr="00D417AC">
        <w:t>on building renovations.</w:t>
      </w:r>
    </w:p>
    <w:p w:rsidR="00000000" w:rsidRPr="00D417AC" w:rsidP="00D417AC">
      <w:pPr>
        <w:pStyle w:val="Heading1"/>
      </w:pPr>
      <w:bookmarkStart w:id="8" w:name="O_905000"/>
      <w:bookmarkEnd w:id="8"/>
      <w:r w:rsidRPr="00D417AC">
        <w:t>Links</w:t>
      </w:r>
    </w:p>
    <w:p w:rsidR="00000000" w:rsidRPr="00D417AC" w:rsidP="00093167">
      <w:pPr>
        <w:pStyle w:val="BodyText"/>
      </w:pPr>
      <w:r w:rsidRPr="00D417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D364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417AC" w:rsidP="00093167">
      <w:pPr>
        <w:pStyle w:val="BodyText"/>
        <w:sectPr w:rsidSect="00D417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17AC" w:rsidP="00D417AC">
      <w:pPr>
        <w:pStyle w:val="SuperHeading"/>
      </w:pPr>
      <w:r w:rsidRPr="00D417AC">
        <w:t xml:space="preserve">Assessment </w:t>
      </w:r>
      <w:r w:rsidRPr="00D417AC">
        <w:t>Requirements for CPPACC4020 Provide access advice on building renovations</w:t>
      </w:r>
    </w:p>
    <w:p w:rsidR="00000000" w:rsidRPr="00D417AC" w:rsidP="00D417AC">
      <w:pPr>
        <w:pStyle w:val="Heading1"/>
      </w:pPr>
      <w:bookmarkStart w:id="9" w:name="O_905002"/>
      <w:bookmarkEnd w:id="9"/>
      <w:r w:rsidRPr="00D417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417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7AC">
            <w:pPr>
              <w:pStyle w:val="BodyText"/>
              <w:rPr>
                <w:lang w:val="en-NZ"/>
              </w:rPr>
            </w:pPr>
            <w:r w:rsidRPr="00D417A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7AC" w:rsidP="00D417AC">
            <w:pPr>
              <w:pStyle w:val="BodyText"/>
            </w:pPr>
            <w:r w:rsidRPr="00D417AC">
              <w:t>This unit first released with CPP Property Services Training Package Release 14.0.</w:t>
            </w:r>
          </w:p>
          <w:p w:rsidR="00000000" w:rsidRPr="00D417AC" w:rsidP="00D417AC">
            <w:pPr>
              <w:pStyle w:val="BodyText"/>
            </w:pPr>
            <w:r w:rsidRPr="00D417AC">
              <w:t xml:space="preserve">Supersedes and is equivalent to CPPACC4020A Provide </w:t>
            </w:r>
            <w:r w:rsidRPr="00D417AC">
              <w:t>access advice on building renovations.</w:t>
            </w:r>
          </w:p>
          <w:p w:rsidR="00000000" w:rsidRPr="00D417AC" w:rsidP="00D417AC">
            <w:pPr>
              <w:pStyle w:val="BodyText"/>
            </w:pPr>
            <w:r w:rsidRPr="00D417AC">
              <w:t>Unit updated to meet the Standards for Training Packages 2012.</w:t>
            </w:r>
          </w:p>
        </w:tc>
      </w:tr>
    </w:tbl>
    <w:p w:rsidR="00000000" w:rsidRPr="00D417AC" w:rsidP="00D417AC">
      <w:pPr>
        <w:pStyle w:val="BodyText"/>
      </w:pPr>
    </w:p>
    <w:p w:rsidR="00000000" w:rsidRPr="00D417AC" w:rsidP="00D417AC">
      <w:pPr>
        <w:pStyle w:val="AllowPageBreak"/>
      </w:pPr>
    </w:p>
    <w:p w:rsidR="00000000" w:rsidRPr="00D417AC" w:rsidP="00D417AC">
      <w:pPr>
        <w:pStyle w:val="Heading1"/>
      </w:pPr>
      <w:bookmarkStart w:id="10" w:name="O_905005"/>
      <w:bookmarkEnd w:id="10"/>
      <w:r w:rsidRPr="00D417AC">
        <w:t>Performance Evidence</w:t>
      </w:r>
    </w:p>
    <w:p w:rsidR="00000000" w:rsidRPr="00D417AC" w:rsidP="00093167">
      <w:pPr>
        <w:pStyle w:val="BodyText"/>
      </w:pPr>
      <w:r w:rsidRPr="00D417AC">
        <w:t>To demonstrate competency, a candidate must meet the elements and performance criteria of this unit by providing a</w:t>
      </w:r>
      <w:r w:rsidRPr="00D417AC">
        <w:t>ccess advice on building renovations for two different Classes of buildings as defined by the National Construction Code (NCC).</w:t>
      </w:r>
    </w:p>
    <w:p w:rsidR="00000000" w:rsidRPr="00D417AC" w:rsidP="00D417AC">
      <w:pPr>
        <w:pStyle w:val="Heading1"/>
      </w:pPr>
      <w:bookmarkStart w:id="11" w:name="O_905004"/>
      <w:bookmarkEnd w:id="11"/>
      <w:r w:rsidRPr="00D417AC">
        <w:t>Knowledge Evidence</w:t>
      </w:r>
    </w:p>
    <w:p w:rsidR="00000000" w:rsidRPr="00D417AC" w:rsidP="00093167">
      <w:pPr>
        <w:pStyle w:val="BodyText"/>
      </w:pPr>
      <w:r w:rsidRPr="00D417AC">
        <w:t>To be competent in this unit, a candidate must demonstrate knowledge of:</w:t>
      </w:r>
    </w:p>
    <w:p w:rsidR="00000000" w:rsidRPr="00D417AC" w:rsidP="00D417AC">
      <w:pPr>
        <w:pStyle w:val="ListBullet"/>
      </w:pPr>
      <w:r w:rsidRPr="00D417AC">
        <w:t>Commonwealth, stat</w:t>
      </w:r>
      <w:r w:rsidRPr="00D417AC">
        <w:t>e and territory legislation, regulations, codes and standards relevant to access consulting activities:</w:t>
      </w:r>
    </w:p>
    <w:p w:rsidR="00000000" w:rsidRPr="00D417AC" w:rsidP="00D417AC">
      <w:pPr>
        <w:pStyle w:val="ListBullet2"/>
      </w:pPr>
      <w:r w:rsidRPr="00D417AC">
        <w:t>anti-discrimination and disability discrimination</w:t>
      </w:r>
    </w:p>
    <w:p w:rsidR="00000000" w:rsidRPr="00D417AC" w:rsidP="00D417AC">
      <w:pPr>
        <w:pStyle w:val="ListBullet2"/>
      </w:pPr>
      <w:r w:rsidRPr="00D417AC">
        <w:t>building control including local government regulations and by-laws</w:t>
      </w:r>
    </w:p>
    <w:p w:rsidR="00000000" w:rsidRPr="00D417AC" w:rsidP="00D417AC">
      <w:pPr>
        <w:pStyle w:val="ListBullet2"/>
      </w:pPr>
      <w:r w:rsidRPr="00D417AC">
        <w:t>Disability (Access to Premises –</w:t>
      </w:r>
      <w:r w:rsidRPr="00D417AC">
        <w:t xml:space="preserve"> Buildings) Standards 2010 under the Disability Discrimination Act 1992 (or their successors) – known as the Access to Premises Standards</w:t>
      </w:r>
    </w:p>
    <w:p w:rsidR="00000000" w:rsidRPr="00D417AC" w:rsidP="00D417AC">
      <w:pPr>
        <w:pStyle w:val="ListBullet2"/>
      </w:pPr>
      <w:r w:rsidRPr="00D417AC">
        <w:t>NCC building classifications and access requirements</w:t>
      </w:r>
    </w:p>
    <w:p w:rsidR="00000000" w:rsidRPr="00D417AC" w:rsidP="00D417AC">
      <w:pPr>
        <w:pStyle w:val="ListBullet2"/>
      </w:pPr>
      <w:r w:rsidRPr="00D417AC">
        <w:t>National Disability Insurance Scheme (NDIS) Specialist Disability</w:t>
      </w:r>
      <w:r w:rsidRPr="00D417AC">
        <w:t xml:space="preserve"> Accommodation Design Standard (or its successor)</w:t>
      </w:r>
    </w:p>
    <w:p w:rsidR="00000000" w:rsidRPr="00D417AC" w:rsidP="00D417AC">
      <w:pPr>
        <w:pStyle w:val="ListBullet2"/>
      </w:pPr>
      <w:r w:rsidRPr="00D417AC">
        <w:t>Livable Housing Australia Livable Housing Design Guidelines (or its successor)</w:t>
      </w:r>
    </w:p>
    <w:p w:rsidR="00000000" w:rsidRPr="00D417AC" w:rsidP="00D417AC">
      <w:pPr>
        <w:pStyle w:val="ListBullet2"/>
      </w:pPr>
      <w:r w:rsidRPr="00D417AC">
        <w:t>principles of universal design</w:t>
      </w:r>
    </w:p>
    <w:p w:rsidR="00000000" w:rsidRPr="00D417AC" w:rsidP="00D417AC">
      <w:pPr>
        <w:pStyle w:val="ListBullet2"/>
      </w:pPr>
      <w:r w:rsidRPr="00D417AC">
        <w:t>privacy and confidentiality</w:t>
      </w:r>
    </w:p>
    <w:p w:rsidR="00000000" w:rsidRPr="00D417AC" w:rsidP="00D417AC">
      <w:pPr>
        <w:pStyle w:val="ListBullet"/>
      </w:pPr>
      <w:r w:rsidRPr="00D417AC">
        <w:t>methods for determining building modifications to achieve compliant</w:t>
      </w:r>
      <w:r w:rsidRPr="00D417AC">
        <w:t xml:space="preserve"> access for people with disability:</w:t>
      </w:r>
    </w:p>
    <w:p w:rsidR="00000000" w:rsidRPr="00D417AC" w:rsidP="00D417AC">
      <w:pPr>
        <w:pStyle w:val="ListBullet2"/>
      </w:pPr>
      <w:r w:rsidRPr="00D417AC">
        <w:t>measurements and calculations used to determine provisions for access</w:t>
      </w:r>
    </w:p>
    <w:p w:rsidR="00000000" w:rsidRPr="00D417AC" w:rsidP="00D417AC">
      <w:pPr>
        <w:pStyle w:val="ListBullet2"/>
      </w:pPr>
      <w:r w:rsidRPr="00D417AC">
        <w:t>minimum requirements of building spaces and elements</w:t>
      </w:r>
    </w:p>
    <w:p w:rsidR="00000000" w:rsidRPr="00D417AC" w:rsidP="00D417AC">
      <w:pPr>
        <w:pStyle w:val="ListBullet2"/>
      </w:pPr>
      <w:r w:rsidRPr="00D417AC">
        <w:t>types of pre-existing conditions that prevent modification to full compliance</w:t>
      </w:r>
    </w:p>
    <w:p w:rsidR="00000000" w:rsidRPr="00D417AC" w:rsidP="00D417AC">
      <w:pPr>
        <w:pStyle w:val="ListBullet"/>
      </w:pPr>
      <w:r w:rsidRPr="00D417AC">
        <w:t>processes for int</w:t>
      </w:r>
      <w:r w:rsidRPr="00D417AC">
        <w:t>erpreting drawings and associated documentation when providing access advice on building renovations</w:t>
      </w:r>
    </w:p>
    <w:p w:rsidR="00000000" w:rsidRPr="00D417AC" w:rsidP="00D417AC">
      <w:pPr>
        <w:pStyle w:val="ListBullet"/>
      </w:pPr>
      <w:r w:rsidRPr="00D417AC">
        <w:t>types of disability and limitations that each disability places on an individual’s ability to access the environment</w:t>
      </w:r>
    </w:p>
    <w:p w:rsidR="00000000" w:rsidRPr="00D417AC" w:rsidP="00D417AC">
      <w:pPr>
        <w:pStyle w:val="ListBullet"/>
      </w:pPr>
      <w:r w:rsidRPr="00D417AC">
        <w:t>workplace requirements for providing access advice on building renovations:</w:t>
      </w:r>
    </w:p>
    <w:p w:rsidR="00000000" w:rsidRPr="00D417AC" w:rsidP="00D417AC">
      <w:pPr>
        <w:pStyle w:val="ListBullet2"/>
      </w:pPr>
      <w:r w:rsidRPr="00D417AC">
        <w:t>documentation and records administration</w:t>
      </w:r>
    </w:p>
    <w:p w:rsidR="00000000" w:rsidRPr="00D417AC" w:rsidP="00D417AC">
      <w:pPr>
        <w:pStyle w:val="ListBullet2"/>
      </w:pPr>
      <w:r w:rsidRPr="00D417AC">
        <w:t>format and content of building renovations access reports</w:t>
      </w:r>
    </w:p>
    <w:p w:rsidR="00000000" w:rsidRPr="00D417AC" w:rsidP="00D417AC">
      <w:pPr>
        <w:pStyle w:val="ListBullet2"/>
      </w:pPr>
      <w:r w:rsidRPr="00D417AC">
        <w:t>quality</w:t>
      </w:r>
    </w:p>
    <w:p w:rsidR="00000000" w:rsidRPr="00D417AC" w:rsidP="00D417AC">
      <w:pPr>
        <w:pStyle w:val="ListBullet2"/>
      </w:pPr>
      <w:r w:rsidRPr="00D417AC">
        <w:t>work role boundaries - responsibilities, limitations and professional ab</w:t>
      </w:r>
      <w:r w:rsidRPr="00D417AC">
        <w:t>ilities.</w:t>
      </w:r>
    </w:p>
    <w:p w:rsidR="00000000" w:rsidRPr="00D417AC" w:rsidP="00D417AC">
      <w:pPr>
        <w:pStyle w:val="AllowPageBreak"/>
      </w:pPr>
    </w:p>
    <w:p w:rsidR="00000000" w:rsidRPr="00D417AC" w:rsidP="00D417AC">
      <w:pPr>
        <w:pStyle w:val="Heading1"/>
      </w:pPr>
      <w:bookmarkStart w:id="12" w:name="O_905003"/>
      <w:bookmarkEnd w:id="12"/>
      <w:r w:rsidRPr="00D417AC">
        <w:t>Assessment Conditions</w:t>
      </w:r>
    </w:p>
    <w:p w:rsidR="00000000" w:rsidRPr="00D417AC" w:rsidP="00093167">
      <w:pPr>
        <w:pStyle w:val="BodyText"/>
      </w:pPr>
      <w:r w:rsidRPr="00D417AC">
        <w:t xml:space="preserve">Assessors must meet the requirements for assessors contained in the Standards for Registered Training Organisations. </w:t>
      </w:r>
    </w:p>
    <w:p w:rsidR="00000000" w:rsidRPr="00D417AC" w:rsidP="00093167">
      <w:pPr>
        <w:pStyle w:val="BodyText"/>
      </w:pPr>
      <w:r w:rsidRPr="00D417AC">
        <w:t>Assessment must be conducted in the workplace or a simulated workplace using realistic con</w:t>
      </w:r>
      <w:r w:rsidRPr="00D417AC">
        <w:t>ditions, materials, activities, responsibilities, procedures, safety requirements and environmental considerations.</w:t>
      </w:r>
    </w:p>
    <w:p w:rsidR="00000000" w:rsidRPr="00D417AC" w:rsidP="00093167">
      <w:pPr>
        <w:pStyle w:val="BodyText"/>
      </w:pPr>
      <w:r w:rsidRPr="00D417AC">
        <w:t>Candidates must have access to documentation, information and technologies required to achieve the performance criteria and performance evid</w:t>
      </w:r>
      <w:r w:rsidRPr="00D417AC">
        <w:t>ence.</w:t>
      </w:r>
    </w:p>
    <w:p w:rsidR="00000000" w:rsidRPr="00D417AC" w:rsidP="00D417AC">
      <w:pPr>
        <w:pStyle w:val="Heading1"/>
      </w:pPr>
      <w:bookmarkStart w:id="13" w:name="O_905001"/>
      <w:bookmarkEnd w:id="13"/>
      <w:r w:rsidRPr="00D417AC">
        <w:t>Links</w:t>
      </w:r>
    </w:p>
    <w:p w:rsidR="00000000" w:rsidRPr="00D417AC" w:rsidP="00093167">
      <w:pPr>
        <w:pStyle w:val="BodyText"/>
      </w:pPr>
      <w:r w:rsidRPr="00D417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D364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417AC" w:rsidP="00D417AC"/>
    <w:sectPr w:rsidSect="00D417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C" w:rsidRPr="00093167" w:rsidP="00093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67" w:rsidP="00D41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167" w:rsidP="00D41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3167" w:rsidP="00D417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C" w:rsidP="00D41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3167">
      <w:t>Approved</w:t>
    </w:r>
    <w:r w:rsidR="000931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31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3167">
      <w:rPr>
        <w:noProof/>
      </w:rPr>
      <w:t>4</w:t>
    </w:r>
    <w:r>
      <w:rPr>
        <w:noProof/>
      </w:rPr>
      <w:fldChar w:fldCharType="end"/>
    </w:r>
  </w:p>
  <w:p w:rsidR="00D417AC" w:rsidP="00D41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31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3167">
      <w:t>BuildSkills Australia</w:t>
    </w:r>
    <w:r w:rsidR="00093167">
      <w:fldChar w:fldCharType="end"/>
    </w:r>
  </w:p>
  <w:p w:rsidR="00D417AC" w:rsidP="00D41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7AC" w:rsidRPr="00093167" w:rsidP="000931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67" w:rsidRPr="002D2AF8" w:rsidP="00D41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CPPACC4020 Provide access advice on building renovations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3167" w:rsidP="00D417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7AC" w:rsidRPr="002D2AF8" w:rsidP="00D41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3167">
      <w:t>CPPACC4020 Provide access advice on building renovations</w:t>
    </w:r>
    <w:r w:rsidR="000931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3167">
      <w:rPr>
        <w:noProof/>
      </w:rPr>
      <w:t>2 March 2025</w:t>
    </w:r>
    <w:r>
      <w:fldChar w:fldCharType="end"/>
    </w:r>
  </w:p>
  <w:p w:rsidR="00D417AC" w:rsidP="00D41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B06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1A7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44A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7AC"/>
  </w:style>
  <w:style w:type="character" w:customStyle="1" w:styleId="Heading1Char">
    <w:name w:val="Heading 1 Char"/>
    <w:basedOn w:val="DefaultParagraphFont"/>
    <w:link w:val="Heading1"/>
    <w:rsid w:val="00D41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7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17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1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17AC"/>
    <w:rPr>
      <w:b/>
      <w:spacing w:val="0"/>
    </w:rPr>
  </w:style>
  <w:style w:type="paragraph" w:customStyle="1" w:styleId="SuperTitle">
    <w:name w:val="SuperTitle"/>
    <w:basedOn w:val="Title"/>
    <w:rsid w:val="00D41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7AC"/>
    <w:rPr>
      <w:i/>
    </w:rPr>
  </w:style>
  <w:style w:type="paragraph" w:styleId="Caption">
    <w:name w:val="caption"/>
    <w:basedOn w:val="BodyText"/>
    <w:next w:val="Normal"/>
    <w:qFormat/>
    <w:rsid w:val="00D41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7AC"/>
  </w:style>
  <w:style w:type="paragraph" w:styleId="TableofFigures">
    <w:name w:val="table of figures"/>
    <w:basedOn w:val="Normal"/>
    <w:next w:val="Normal"/>
    <w:semiHidden/>
    <w:rsid w:val="00D41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7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17AC"/>
    <w:rPr>
      <w:rFonts w:ascii="Wingdings" w:hAnsi="Wingdings"/>
    </w:rPr>
  </w:style>
  <w:style w:type="paragraph" w:customStyle="1" w:styleId="TableHeading">
    <w:name w:val="Table Heading"/>
    <w:basedOn w:val="HeadingBase"/>
    <w:rsid w:val="00D41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7AC"/>
    <w:rPr>
      <w:color w:val="0033CC"/>
      <w:u w:val="none"/>
    </w:rPr>
  </w:style>
  <w:style w:type="paragraph" w:customStyle="1" w:styleId="BodyTextRight">
    <w:name w:val="Body Text Right"/>
    <w:basedOn w:val="BodyText"/>
    <w:rsid w:val="00D41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7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7AC"/>
    <w:rPr>
      <w:sz w:val="32"/>
    </w:rPr>
  </w:style>
  <w:style w:type="paragraph" w:customStyle="1" w:styleId="HeadingProcedure">
    <w:name w:val="Heading Procedure"/>
    <w:basedOn w:val="HeadingBase"/>
    <w:next w:val="Normal"/>
    <w:rsid w:val="00D41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7AC"/>
    <w:pPr>
      <w:spacing w:before="60" w:after="60"/>
    </w:pPr>
  </w:style>
  <w:style w:type="paragraph" w:styleId="ListContinue">
    <w:name w:val="List Continue"/>
    <w:basedOn w:val="List"/>
    <w:rsid w:val="00D417AC"/>
    <w:pPr>
      <w:ind w:firstLine="0"/>
    </w:pPr>
  </w:style>
  <w:style w:type="paragraph" w:customStyle="1" w:styleId="ListNote">
    <w:name w:val="List Note"/>
    <w:basedOn w:val="List"/>
    <w:rsid w:val="00D41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7AC"/>
    <w:rPr>
      <w:rFonts w:ascii="Courier New" w:hAnsi="Courier New"/>
    </w:rPr>
  </w:style>
  <w:style w:type="paragraph" w:customStyle="1" w:styleId="NoteBullet">
    <w:name w:val="Note Bullet"/>
    <w:basedOn w:val="Note"/>
    <w:rsid w:val="00D41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7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1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7AC"/>
    <w:rPr>
      <w:b/>
      <w:smallCaps/>
    </w:rPr>
  </w:style>
  <w:style w:type="paragraph" w:customStyle="1" w:styleId="TableListNumber">
    <w:name w:val="Table List Number"/>
    <w:basedOn w:val="ListNumber"/>
    <w:rsid w:val="00D41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7AC"/>
    <w:pPr>
      <w:numPr>
        <w:numId w:val="9"/>
      </w:numPr>
    </w:pPr>
  </w:style>
  <w:style w:type="paragraph" w:customStyle="1" w:styleId="ListAlpha2">
    <w:name w:val="List Alpha 2"/>
    <w:basedOn w:val="List2"/>
    <w:rsid w:val="00D417AC"/>
    <w:pPr>
      <w:numPr>
        <w:numId w:val="8"/>
      </w:numPr>
    </w:pPr>
  </w:style>
  <w:style w:type="paragraph" w:styleId="List2">
    <w:name w:val="List 2"/>
    <w:basedOn w:val="BodyText"/>
    <w:rsid w:val="00D41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7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7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17AC"/>
    <w:pPr>
      <w:numPr>
        <w:numId w:val="4"/>
      </w:numPr>
    </w:pPr>
  </w:style>
  <w:style w:type="paragraph" w:styleId="ListContinue2">
    <w:name w:val="List Continue 2"/>
    <w:basedOn w:val="List2"/>
    <w:rsid w:val="00D417AC"/>
    <w:pPr>
      <w:ind w:firstLine="0"/>
    </w:pPr>
  </w:style>
  <w:style w:type="paragraph" w:styleId="ListContinue3">
    <w:name w:val="List Continue 3"/>
    <w:basedOn w:val="List3"/>
    <w:rsid w:val="00D417AC"/>
    <w:pPr>
      <w:ind w:left="1021" w:firstLine="0"/>
    </w:pPr>
  </w:style>
  <w:style w:type="paragraph" w:styleId="ListContinue4">
    <w:name w:val="List Continue 4"/>
    <w:basedOn w:val="List4"/>
    <w:rsid w:val="00D417AC"/>
    <w:pPr>
      <w:ind w:firstLine="0"/>
    </w:pPr>
  </w:style>
  <w:style w:type="paragraph" w:styleId="ListContinue5">
    <w:name w:val="List Continue 5"/>
    <w:basedOn w:val="List5"/>
    <w:rsid w:val="00D417AC"/>
    <w:pPr>
      <w:ind w:firstLine="0"/>
    </w:pPr>
  </w:style>
  <w:style w:type="paragraph" w:styleId="ListNumber3">
    <w:name w:val="List Number 3"/>
    <w:basedOn w:val="List3"/>
    <w:rsid w:val="00D417AC"/>
    <w:pPr>
      <w:numPr>
        <w:numId w:val="5"/>
      </w:numPr>
    </w:pPr>
  </w:style>
  <w:style w:type="paragraph" w:styleId="ListNumber4">
    <w:name w:val="List Number 4"/>
    <w:basedOn w:val="List4"/>
    <w:rsid w:val="00D417AC"/>
    <w:pPr>
      <w:numPr>
        <w:numId w:val="6"/>
      </w:numPr>
    </w:pPr>
  </w:style>
  <w:style w:type="paragraph" w:styleId="ListNumber5">
    <w:name w:val="List Number 5"/>
    <w:basedOn w:val="List5"/>
    <w:rsid w:val="00D417AC"/>
    <w:pPr>
      <w:numPr>
        <w:numId w:val="7"/>
      </w:numPr>
    </w:pPr>
  </w:style>
  <w:style w:type="paragraph" w:styleId="BlockText">
    <w:name w:val="Block Text"/>
    <w:basedOn w:val="Normal"/>
    <w:rsid w:val="00D41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7AC"/>
    <w:rPr>
      <w:sz w:val="16"/>
      <w:vertAlign w:val="superscript"/>
    </w:rPr>
  </w:style>
  <w:style w:type="character" w:customStyle="1" w:styleId="Symbols">
    <w:name w:val="Symbols"/>
    <w:basedOn w:val="DefaultParagraphFont"/>
    <w:rsid w:val="00D417AC"/>
    <w:rPr>
      <w:rFonts w:ascii="Symbol" w:hAnsi="Symbol"/>
    </w:rPr>
  </w:style>
  <w:style w:type="character" w:customStyle="1" w:styleId="MenuOptions">
    <w:name w:val="Menu Options"/>
    <w:basedOn w:val="DefaultParagraphFont"/>
    <w:rsid w:val="00D41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7AC"/>
    <w:rPr>
      <w:b/>
    </w:rPr>
  </w:style>
  <w:style w:type="character" w:customStyle="1" w:styleId="Underlined">
    <w:name w:val="Underlined"/>
    <w:basedOn w:val="DefaultParagraphFont"/>
    <w:rsid w:val="00D417AC"/>
    <w:rPr>
      <w:u w:val="single"/>
    </w:rPr>
  </w:style>
  <w:style w:type="paragraph" w:customStyle="1" w:styleId="TableBodyTextRight">
    <w:name w:val="Table Body Text Right"/>
    <w:basedOn w:val="TableBodyText"/>
    <w:rsid w:val="00D41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7AC"/>
    <w:rPr>
      <w:sz w:val="18"/>
    </w:rPr>
  </w:style>
  <w:style w:type="paragraph" w:customStyle="1" w:styleId="BodySmallRight">
    <w:name w:val="Body Small Right"/>
    <w:basedOn w:val="BodyTextRight"/>
    <w:rsid w:val="00D417AC"/>
    <w:rPr>
      <w:sz w:val="18"/>
      <w:szCs w:val="18"/>
    </w:rPr>
  </w:style>
  <w:style w:type="paragraph" w:customStyle="1" w:styleId="MarginEdition">
    <w:name w:val="Margin Edition"/>
    <w:basedOn w:val="MarginNote"/>
    <w:rsid w:val="00D41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7AC"/>
    <w:rPr>
      <w:sz w:val="2"/>
      <w:szCs w:val="2"/>
    </w:rPr>
  </w:style>
  <w:style w:type="character" w:customStyle="1" w:styleId="Small">
    <w:name w:val="Small"/>
    <w:basedOn w:val="DefaultParagraphFont"/>
    <w:rsid w:val="00D417AC"/>
    <w:rPr>
      <w:sz w:val="16"/>
    </w:rPr>
  </w:style>
  <w:style w:type="paragraph" w:customStyle="1" w:styleId="WideTable">
    <w:name w:val="Wide Table"/>
    <w:basedOn w:val="Normal"/>
    <w:rsid w:val="00D41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7AC"/>
  </w:style>
  <w:style w:type="paragraph" w:styleId="Quote">
    <w:name w:val="Quote"/>
    <w:basedOn w:val="Heading1"/>
    <w:link w:val="QuoteChar"/>
    <w:qFormat/>
    <w:rsid w:val="00D41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7AC"/>
    <w:pPr>
      <w:pageBreakBefore/>
    </w:pPr>
  </w:style>
  <w:style w:type="paragraph" w:customStyle="1" w:styleId="Border">
    <w:name w:val="Border"/>
    <w:basedOn w:val="Normal"/>
    <w:qFormat/>
    <w:rsid w:val="00D41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7AC"/>
    <w:rPr>
      <w:u w:val="single"/>
    </w:rPr>
  </w:style>
  <w:style w:type="character" w:customStyle="1" w:styleId="BoldandItalics">
    <w:name w:val="Bold and Italics"/>
    <w:qFormat/>
    <w:rsid w:val="00D417AC"/>
    <w:rPr>
      <w:b/>
      <w:i/>
      <w:u w:val="none"/>
    </w:rPr>
  </w:style>
  <w:style w:type="paragraph" w:styleId="BalloonText">
    <w:name w:val="Balloon Text"/>
    <w:basedOn w:val="Normal"/>
    <w:link w:val="BalloonTextChar"/>
    <w:rsid w:val="00D41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7AC"/>
    <w:pPr>
      <w:spacing w:before="0" w:after="0"/>
    </w:pPr>
  </w:style>
  <w:style w:type="paragraph" w:customStyle="1" w:styleId="BodyTextBold">
    <w:name w:val="Body Text Bold"/>
    <w:basedOn w:val="BodyText"/>
    <w:qFormat/>
    <w:rsid w:val="00D417AC"/>
    <w:rPr>
      <w:b/>
    </w:rPr>
  </w:style>
  <w:style w:type="character" w:styleId="Hyperlink">
    <w:name w:val="Hyperlink"/>
    <w:basedOn w:val="DefaultParagraphFont"/>
    <w:uiPriority w:val="99"/>
    <w:unhideWhenUsed/>
    <w:rsid w:val="00093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5774</Characters>
  <Application>Microsoft Office Word</Application>
  <DocSecurity>0</DocSecurity>
  <Lines>206</Lines>
  <Paragraphs>110</Paragraphs>
  <ScaleCrop>false</ScaleCrop>
  <Company>Author-it Software Corporation Ltd.</Company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CPPACC4020 Provide access advice on building renovations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