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F42" w:rsidP="002A2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CPPACC4017 Prepare access reports</w:t>
      </w:r>
      <w:r>
        <w:fldChar w:fldCharType="end"/>
      </w:r>
    </w:p>
    <w:p w:rsidR="002A2F42" w:rsidP="002A2F42">
      <w:pPr>
        <w:pStyle w:val="Version"/>
        <w:sectPr w:rsidSect="009B7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B6A" w:rsidP="009B7B6A">
      <w:pPr>
        <w:pStyle w:val="SuperHeading"/>
      </w:pPr>
      <w:r w:rsidRPr="009B7B6A">
        <w:t>Assessment Requirements for CPPACC4017 Prepare access reports</w:t>
      </w:r>
    </w:p>
    <w:p w:rsidR="00000000" w:rsidRPr="009B7B6A" w:rsidP="009B7B6A">
      <w:pPr>
        <w:pStyle w:val="Heading1"/>
      </w:pPr>
      <w:bookmarkStart w:id="1" w:name="O_904903"/>
      <w:bookmarkEnd w:id="1"/>
      <w:r w:rsidRPr="009B7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B7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B6A">
            <w:pPr>
              <w:pStyle w:val="BodyText"/>
              <w:rPr>
                <w:lang w:val="en-NZ"/>
              </w:rPr>
            </w:pPr>
            <w:r w:rsidRPr="009B7B6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B6A" w:rsidP="009B7B6A">
            <w:pPr>
              <w:pStyle w:val="BodyText"/>
            </w:pPr>
            <w:r w:rsidRPr="009B7B6A">
              <w:t>This unit first released with CPP Property Services Training Package Release 14.0.</w:t>
            </w:r>
          </w:p>
          <w:p w:rsidR="00000000" w:rsidRPr="009B7B6A" w:rsidP="009B7B6A">
            <w:pPr>
              <w:pStyle w:val="BodyText"/>
            </w:pPr>
            <w:r w:rsidRPr="009B7B6A">
              <w:t>Supersedes and is equivalent to CPPACC4017A Prepare access reports.</w:t>
            </w:r>
          </w:p>
          <w:p w:rsidR="00000000" w:rsidRPr="009B7B6A" w:rsidP="009B7B6A">
            <w:pPr>
              <w:pStyle w:val="BodyText"/>
            </w:pPr>
            <w:r w:rsidRPr="009B7B6A">
              <w:t>Unit updated to meet</w:t>
            </w:r>
            <w:r w:rsidRPr="009B7B6A">
              <w:t xml:space="preserve"> the Standards for Training Packages 2012. </w:t>
            </w:r>
          </w:p>
        </w:tc>
      </w:tr>
    </w:tbl>
    <w:p w:rsidR="00000000" w:rsidRPr="009B7B6A" w:rsidP="009B7B6A">
      <w:pPr>
        <w:pStyle w:val="BodyText"/>
      </w:pPr>
    </w:p>
    <w:p w:rsidR="00000000" w:rsidRPr="009B7B6A" w:rsidP="009B7B6A">
      <w:pPr>
        <w:pStyle w:val="AllowPageBreak"/>
      </w:pPr>
    </w:p>
    <w:p w:rsidR="00000000" w:rsidRPr="009B7B6A" w:rsidP="009B7B6A">
      <w:pPr>
        <w:pStyle w:val="Heading1"/>
      </w:pPr>
      <w:bookmarkStart w:id="2" w:name="O_904906"/>
      <w:bookmarkEnd w:id="2"/>
      <w:r w:rsidRPr="009B7B6A">
        <w:t>Performance Evidence</w:t>
      </w:r>
    </w:p>
    <w:p w:rsidR="00000000" w:rsidRPr="009B7B6A" w:rsidP="002A2F42">
      <w:pPr>
        <w:pStyle w:val="BodyText"/>
      </w:pPr>
      <w:r w:rsidRPr="009B7B6A">
        <w:t>To demonstrate competency, a candidate must meet the elements and performance criteria of this unit by preparing two different access reports.</w:t>
      </w:r>
    </w:p>
    <w:p w:rsidR="00000000" w:rsidRPr="009B7B6A" w:rsidP="009B7B6A">
      <w:pPr>
        <w:pStyle w:val="Heading1"/>
      </w:pPr>
      <w:bookmarkStart w:id="3" w:name="O_904905"/>
      <w:bookmarkEnd w:id="3"/>
      <w:r w:rsidRPr="009B7B6A">
        <w:t>Knowledge Ev</w:t>
      </w:r>
      <w:r w:rsidRPr="009B7B6A">
        <w:t>idence</w:t>
      </w:r>
    </w:p>
    <w:p w:rsidR="00000000" w:rsidRPr="009B7B6A" w:rsidP="002A2F42">
      <w:pPr>
        <w:pStyle w:val="BodyText"/>
      </w:pPr>
      <w:r w:rsidRPr="009B7B6A">
        <w:t>To be competent in this unit, a candidate must demonstrate knowledge of:</w:t>
      </w:r>
    </w:p>
    <w:p w:rsidR="00000000" w:rsidRPr="009B7B6A" w:rsidP="009B7B6A">
      <w:pPr>
        <w:pStyle w:val="ListBullet"/>
      </w:pPr>
      <w:r w:rsidRPr="009B7B6A">
        <w:t>Commonwealth, state and territory legislation, regulations, codes and standards relevant to preparing access reports:</w:t>
      </w:r>
    </w:p>
    <w:p w:rsidR="00000000" w:rsidRPr="009B7B6A" w:rsidP="009B7B6A">
      <w:pPr>
        <w:pStyle w:val="ListBullet2"/>
      </w:pPr>
      <w:r w:rsidRPr="009B7B6A">
        <w:t>anti-discrimination and disability discrimination</w:t>
      </w:r>
    </w:p>
    <w:p w:rsidR="00000000" w:rsidRPr="009B7B6A" w:rsidP="009B7B6A">
      <w:pPr>
        <w:pStyle w:val="ListBullet2"/>
      </w:pPr>
      <w:r w:rsidRPr="009B7B6A">
        <w:t>building control including local government regulations and by-laws</w:t>
      </w:r>
    </w:p>
    <w:p w:rsidR="00000000" w:rsidRPr="009B7B6A" w:rsidP="009B7B6A">
      <w:pPr>
        <w:pStyle w:val="ListBullet2"/>
      </w:pPr>
      <w:r w:rsidRPr="009B7B6A">
        <w:t>Disability (Access to Premises – Buildings) Standards 2010 under the Disability Discrimination Act 1992 (or their successors) – known as the Access to Premises Standards</w:t>
      </w:r>
    </w:p>
    <w:p w:rsidR="00000000" w:rsidRPr="009B7B6A" w:rsidP="009B7B6A">
      <w:pPr>
        <w:pStyle w:val="ListBullet2"/>
      </w:pPr>
      <w:r w:rsidRPr="009B7B6A">
        <w:t>National Construct</w:t>
      </w:r>
      <w:r w:rsidRPr="009B7B6A">
        <w:t>ion Code (NCC) building classifications and access requirements</w:t>
      </w:r>
    </w:p>
    <w:p w:rsidR="00000000" w:rsidRPr="009B7B6A" w:rsidP="009B7B6A">
      <w:pPr>
        <w:pStyle w:val="ListBullet2"/>
      </w:pPr>
      <w:r w:rsidRPr="009B7B6A">
        <w:t>National Disability Insurance Scheme (NDIS) Specialist Disability Accommodation Design Standard (or its successor)</w:t>
      </w:r>
    </w:p>
    <w:p w:rsidR="00000000" w:rsidRPr="009B7B6A" w:rsidP="009B7B6A">
      <w:pPr>
        <w:pStyle w:val="ListBullet2"/>
      </w:pPr>
      <w:r w:rsidRPr="009B7B6A">
        <w:t>Livable Housing Australia Livable Housing Design Guidelines (or its successor</w:t>
      </w:r>
      <w:r w:rsidRPr="009B7B6A">
        <w:t>)</w:t>
      </w:r>
    </w:p>
    <w:p w:rsidR="00000000" w:rsidRPr="009B7B6A" w:rsidP="009B7B6A">
      <w:pPr>
        <w:pStyle w:val="ListBullet2"/>
      </w:pPr>
      <w:r w:rsidRPr="009B7B6A">
        <w:t>principles of universal design</w:t>
      </w:r>
    </w:p>
    <w:p w:rsidR="00000000" w:rsidRPr="009B7B6A" w:rsidP="009B7B6A">
      <w:pPr>
        <w:pStyle w:val="ListBullet2"/>
      </w:pPr>
      <w:r w:rsidRPr="009B7B6A">
        <w:t xml:space="preserve">privacy and confidentiality </w:t>
      </w:r>
    </w:p>
    <w:p w:rsidR="00000000" w:rsidRPr="009B7B6A" w:rsidP="009B7B6A">
      <w:pPr>
        <w:pStyle w:val="ListBullet"/>
      </w:pPr>
      <w:r w:rsidRPr="009B7B6A">
        <w:t>editing techniques</w:t>
      </w:r>
    </w:p>
    <w:p w:rsidR="00000000" w:rsidRPr="009B7B6A" w:rsidP="009B7B6A">
      <w:pPr>
        <w:pStyle w:val="ListBullet"/>
      </w:pPr>
      <w:r w:rsidRPr="009B7B6A">
        <w:t>methods for using technologies to manage and secure access information</w:t>
      </w:r>
    </w:p>
    <w:p w:rsidR="00000000" w:rsidRPr="009B7B6A" w:rsidP="009B7B6A">
      <w:pPr>
        <w:pStyle w:val="ListBullet"/>
      </w:pPr>
      <w:r w:rsidRPr="009B7B6A">
        <w:t>report-writing methods appropriate to own role and responsibilities</w:t>
      </w:r>
    </w:p>
    <w:p w:rsidR="00000000" w:rsidRPr="009B7B6A" w:rsidP="009B7B6A">
      <w:pPr>
        <w:pStyle w:val="ListBullet"/>
      </w:pPr>
      <w:r w:rsidRPr="009B7B6A">
        <w:t>sources of valid and reliable infor</w:t>
      </w:r>
      <w:r w:rsidRPr="009B7B6A">
        <w:t>mation relevant to access reports</w:t>
      </w:r>
    </w:p>
    <w:p w:rsidR="00000000" w:rsidRPr="009B7B6A" w:rsidP="009B7B6A">
      <w:pPr>
        <w:pStyle w:val="ListBullet"/>
      </w:pPr>
      <w:r w:rsidRPr="009B7B6A">
        <w:t>types of disability and limitations that each disability places on an individual’s ability to access the environment</w:t>
      </w:r>
    </w:p>
    <w:p w:rsidR="00000000" w:rsidRPr="009B7B6A" w:rsidP="009B7B6A">
      <w:pPr>
        <w:pStyle w:val="ListBullet"/>
      </w:pPr>
      <w:r w:rsidRPr="009B7B6A">
        <w:t>workplace requirements for preparing access reports:</w:t>
      </w:r>
    </w:p>
    <w:p w:rsidR="00000000" w:rsidRPr="009B7B6A" w:rsidP="009B7B6A">
      <w:pPr>
        <w:pStyle w:val="ListBullet2"/>
      </w:pPr>
      <w:r w:rsidRPr="009B7B6A">
        <w:t>documentation and records administration</w:t>
      </w:r>
    </w:p>
    <w:p w:rsidR="00000000" w:rsidRPr="009B7B6A" w:rsidP="009B7B6A">
      <w:pPr>
        <w:pStyle w:val="ListBullet2"/>
      </w:pPr>
      <w:r w:rsidRPr="009B7B6A">
        <w:t>format, st</w:t>
      </w:r>
      <w:r w:rsidRPr="009B7B6A">
        <w:t>yle, structure and presentation of access reports</w:t>
      </w:r>
    </w:p>
    <w:p w:rsidR="00000000" w:rsidRPr="009B7B6A" w:rsidP="009B7B6A">
      <w:pPr>
        <w:pStyle w:val="ListBullet2"/>
      </w:pPr>
      <w:r w:rsidRPr="009B7B6A">
        <w:t>quality</w:t>
      </w:r>
    </w:p>
    <w:p w:rsidR="00000000" w:rsidRPr="009B7B6A" w:rsidP="009B7B6A">
      <w:pPr>
        <w:pStyle w:val="ListBullet2"/>
      </w:pPr>
      <w:r w:rsidRPr="009B7B6A">
        <w:t>work role boundaries - responsibilities, limitations and professional abilities.</w:t>
      </w:r>
    </w:p>
    <w:p w:rsidR="00000000" w:rsidRPr="009B7B6A" w:rsidP="009B7B6A">
      <w:pPr>
        <w:pStyle w:val="AllowPageBreak"/>
      </w:pPr>
    </w:p>
    <w:p w:rsidR="00000000" w:rsidRPr="009B7B6A" w:rsidP="009B7B6A">
      <w:pPr>
        <w:pStyle w:val="Heading1"/>
      </w:pPr>
      <w:bookmarkStart w:id="4" w:name="O_904904"/>
      <w:bookmarkEnd w:id="4"/>
      <w:r w:rsidRPr="009B7B6A">
        <w:t>Assessment Conditions</w:t>
      </w:r>
    </w:p>
    <w:p w:rsidR="00000000" w:rsidRPr="009B7B6A" w:rsidP="002A2F42">
      <w:pPr>
        <w:pStyle w:val="BodyText"/>
      </w:pPr>
      <w:r w:rsidRPr="009B7B6A">
        <w:t xml:space="preserve">Assessors must meet the requirements for assessors contained in the Standards for Registered Training Organisations. </w:t>
      </w:r>
    </w:p>
    <w:p w:rsidR="00000000" w:rsidRPr="009B7B6A" w:rsidP="002A2F42">
      <w:pPr>
        <w:pStyle w:val="BodyText"/>
      </w:pPr>
      <w:r w:rsidRPr="009B7B6A">
        <w:t>Assessment must be conducted in the workplace or a simulated workplace using realistic conditions, materials, activities, responsibilities</w:t>
      </w:r>
      <w:r w:rsidRPr="009B7B6A">
        <w:t>, procedures, safety requirements and environmental considerations.</w:t>
      </w:r>
    </w:p>
    <w:p w:rsidR="00000000" w:rsidRPr="009B7B6A" w:rsidP="002A2F42">
      <w:pPr>
        <w:pStyle w:val="BodyText"/>
      </w:pPr>
      <w:r w:rsidRPr="009B7B6A">
        <w:t>Candidates must have access to documentation, information and technologies required to achieve the performance criteria and performance evidence.</w:t>
      </w:r>
    </w:p>
    <w:p w:rsidR="00000000" w:rsidRPr="009B7B6A" w:rsidP="009B7B6A">
      <w:pPr>
        <w:pStyle w:val="Heading1"/>
      </w:pPr>
      <w:bookmarkStart w:id="5" w:name="O_904902"/>
      <w:bookmarkEnd w:id="5"/>
      <w:r w:rsidRPr="009B7B6A">
        <w:t>Links</w:t>
      </w:r>
    </w:p>
    <w:p w:rsidR="00000000" w:rsidRPr="009B7B6A" w:rsidP="002A2F42">
      <w:pPr>
        <w:pStyle w:val="BodyText"/>
      </w:pPr>
      <w:r w:rsidRPr="009B7B6A">
        <w:t>Companion Volume im</w:t>
      </w:r>
      <w:r w:rsidRPr="009B7B6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46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B7B6A" w:rsidP="009B7B6A"/>
    <w:sectPr w:rsidSect="009B7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B6A" w:rsidRPr="002A2F42" w:rsidP="002A2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42" w:rsidP="009B7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F42" w:rsidP="009B7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A2F42" w:rsidP="009B7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B6A" w:rsidRPr="002A2F42" w:rsidP="002A2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F42" w:rsidRPr="002D2AF8" w:rsidP="009B7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CPPACC4017 Prepare access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A2F42" w:rsidP="009B7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F01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66E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CEB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B6A"/>
  </w:style>
  <w:style w:type="character" w:customStyle="1" w:styleId="Heading1Char">
    <w:name w:val="Heading 1 Char"/>
    <w:basedOn w:val="DefaultParagraphFont"/>
    <w:link w:val="Heading1"/>
    <w:rsid w:val="009B7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B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B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B6A"/>
    <w:rPr>
      <w:b/>
      <w:spacing w:val="0"/>
    </w:rPr>
  </w:style>
  <w:style w:type="paragraph" w:customStyle="1" w:styleId="SuperTitle">
    <w:name w:val="SuperTitle"/>
    <w:basedOn w:val="Title"/>
    <w:rsid w:val="009B7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B6A"/>
    <w:rPr>
      <w:i/>
    </w:rPr>
  </w:style>
  <w:style w:type="paragraph" w:styleId="Caption">
    <w:name w:val="caption"/>
    <w:basedOn w:val="BodyText"/>
    <w:next w:val="Normal"/>
    <w:qFormat/>
    <w:rsid w:val="009B7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B6A"/>
  </w:style>
  <w:style w:type="paragraph" w:styleId="TableofFigures">
    <w:name w:val="table of figures"/>
    <w:basedOn w:val="Normal"/>
    <w:next w:val="Normal"/>
    <w:semiHidden/>
    <w:rsid w:val="009B7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B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B6A"/>
    <w:rPr>
      <w:rFonts w:ascii="Wingdings" w:hAnsi="Wingdings"/>
    </w:rPr>
  </w:style>
  <w:style w:type="paragraph" w:customStyle="1" w:styleId="TableHeading">
    <w:name w:val="Table Heading"/>
    <w:basedOn w:val="HeadingBase"/>
    <w:rsid w:val="009B7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B6A"/>
    <w:rPr>
      <w:color w:val="0033CC"/>
      <w:u w:val="none"/>
    </w:rPr>
  </w:style>
  <w:style w:type="paragraph" w:customStyle="1" w:styleId="BodyTextRight">
    <w:name w:val="Body Text Right"/>
    <w:basedOn w:val="BodyText"/>
    <w:rsid w:val="009B7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B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B6A"/>
    <w:rPr>
      <w:sz w:val="32"/>
    </w:rPr>
  </w:style>
  <w:style w:type="paragraph" w:customStyle="1" w:styleId="HeadingProcedure">
    <w:name w:val="Heading Procedure"/>
    <w:basedOn w:val="HeadingBase"/>
    <w:next w:val="Normal"/>
    <w:rsid w:val="009B7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B6A"/>
    <w:pPr>
      <w:spacing w:before="60" w:after="60"/>
    </w:pPr>
  </w:style>
  <w:style w:type="paragraph" w:styleId="ListContinue">
    <w:name w:val="List Continue"/>
    <w:basedOn w:val="List"/>
    <w:rsid w:val="009B7B6A"/>
    <w:pPr>
      <w:ind w:firstLine="0"/>
    </w:pPr>
  </w:style>
  <w:style w:type="paragraph" w:customStyle="1" w:styleId="ListNote">
    <w:name w:val="List Note"/>
    <w:basedOn w:val="List"/>
    <w:rsid w:val="009B7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B6A"/>
    <w:rPr>
      <w:rFonts w:ascii="Courier New" w:hAnsi="Courier New"/>
    </w:rPr>
  </w:style>
  <w:style w:type="paragraph" w:customStyle="1" w:styleId="NoteBullet">
    <w:name w:val="Note Bullet"/>
    <w:basedOn w:val="Note"/>
    <w:rsid w:val="009B7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B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B6A"/>
    <w:rPr>
      <w:b/>
      <w:smallCaps/>
    </w:rPr>
  </w:style>
  <w:style w:type="paragraph" w:customStyle="1" w:styleId="TableListNumber">
    <w:name w:val="Table List Number"/>
    <w:basedOn w:val="ListNumber"/>
    <w:rsid w:val="009B7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B6A"/>
    <w:pPr>
      <w:numPr>
        <w:numId w:val="9"/>
      </w:numPr>
    </w:pPr>
  </w:style>
  <w:style w:type="paragraph" w:customStyle="1" w:styleId="ListAlpha2">
    <w:name w:val="List Alpha 2"/>
    <w:basedOn w:val="List2"/>
    <w:rsid w:val="009B7B6A"/>
    <w:pPr>
      <w:numPr>
        <w:numId w:val="8"/>
      </w:numPr>
    </w:pPr>
  </w:style>
  <w:style w:type="paragraph" w:styleId="List2">
    <w:name w:val="List 2"/>
    <w:basedOn w:val="BodyText"/>
    <w:rsid w:val="009B7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B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B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B6A"/>
    <w:pPr>
      <w:numPr>
        <w:numId w:val="4"/>
      </w:numPr>
    </w:pPr>
  </w:style>
  <w:style w:type="paragraph" w:styleId="ListContinue2">
    <w:name w:val="List Continue 2"/>
    <w:basedOn w:val="List2"/>
    <w:rsid w:val="009B7B6A"/>
    <w:pPr>
      <w:ind w:firstLine="0"/>
    </w:pPr>
  </w:style>
  <w:style w:type="paragraph" w:styleId="ListContinue3">
    <w:name w:val="List Continue 3"/>
    <w:basedOn w:val="List3"/>
    <w:rsid w:val="009B7B6A"/>
    <w:pPr>
      <w:ind w:left="1021" w:firstLine="0"/>
    </w:pPr>
  </w:style>
  <w:style w:type="paragraph" w:styleId="ListContinue4">
    <w:name w:val="List Continue 4"/>
    <w:basedOn w:val="List4"/>
    <w:rsid w:val="009B7B6A"/>
    <w:pPr>
      <w:ind w:firstLine="0"/>
    </w:pPr>
  </w:style>
  <w:style w:type="paragraph" w:styleId="ListContinue5">
    <w:name w:val="List Continue 5"/>
    <w:basedOn w:val="List5"/>
    <w:rsid w:val="009B7B6A"/>
    <w:pPr>
      <w:ind w:firstLine="0"/>
    </w:pPr>
  </w:style>
  <w:style w:type="paragraph" w:styleId="ListNumber3">
    <w:name w:val="List Number 3"/>
    <w:basedOn w:val="List3"/>
    <w:rsid w:val="009B7B6A"/>
    <w:pPr>
      <w:numPr>
        <w:numId w:val="5"/>
      </w:numPr>
    </w:pPr>
  </w:style>
  <w:style w:type="paragraph" w:styleId="ListNumber4">
    <w:name w:val="List Number 4"/>
    <w:basedOn w:val="List4"/>
    <w:rsid w:val="009B7B6A"/>
    <w:pPr>
      <w:numPr>
        <w:numId w:val="6"/>
      </w:numPr>
    </w:pPr>
  </w:style>
  <w:style w:type="paragraph" w:styleId="ListNumber5">
    <w:name w:val="List Number 5"/>
    <w:basedOn w:val="List5"/>
    <w:rsid w:val="009B7B6A"/>
    <w:pPr>
      <w:numPr>
        <w:numId w:val="7"/>
      </w:numPr>
    </w:pPr>
  </w:style>
  <w:style w:type="paragraph" w:styleId="BlockText">
    <w:name w:val="Block Text"/>
    <w:basedOn w:val="Normal"/>
    <w:rsid w:val="009B7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B6A"/>
    <w:rPr>
      <w:sz w:val="16"/>
      <w:vertAlign w:val="superscript"/>
    </w:rPr>
  </w:style>
  <w:style w:type="character" w:customStyle="1" w:styleId="Symbols">
    <w:name w:val="Symbols"/>
    <w:basedOn w:val="DefaultParagraphFont"/>
    <w:rsid w:val="009B7B6A"/>
    <w:rPr>
      <w:rFonts w:ascii="Symbol" w:hAnsi="Symbol"/>
    </w:rPr>
  </w:style>
  <w:style w:type="character" w:customStyle="1" w:styleId="MenuOptions">
    <w:name w:val="Menu Options"/>
    <w:basedOn w:val="DefaultParagraphFont"/>
    <w:rsid w:val="009B7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B6A"/>
    <w:rPr>
      <w:b/>
    </w:rPr>
  </w:style>
  <w:style w:type="character" w:customStyle="1" w:styleId="Underlined">
    <w:name w:val="Underlined"/>
    <w:basedOn w:val="DefaultParagraphFont"/>
    <w:rsid w:val="009B7B6A"/>
    <w:rPr>
      <w:u w:val="single"/>
    </w:rPr>
  </w:style>
  <w:style w:type="paragraph" w:customStyle="1" w:styleId="TableBodyTextRight">
    <w:name w:val="Table Body Text Right"/>
    <w:basedOn w:val="TableBodyText"/>
    <w:rsid w:val="009B7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B6A"/>
    <w:rPr>
      <w:sz w:val="18"/>
    </w:rPr>
  </w:style>
  <w:style w:type="paragraph" w:customStyle="1" w:styleId="BodySmallRight">
    <w:name w:val="Body Small Right"/>
    <w:basedOn w:val="BodyTextRight"/>
    <w:rsid w:val="009B7B6A"/>
    <w:rPr>
      <w:sz w:val="18"/>
      <w:szCs w:val="18"/>
    </w:rPr>
  </w:style>
  <w:style w:type="paragraph" w:customStyle="1" w:styleId="MarginEdition">
    <w:name w:val="Margin Edition"/>
    <w:basedOn w:val="MarginNote"/>
    <w:rsid w:val="009B7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B6A"/>
    <w:rPr>
      <w:sz w:val="2"/>
      <w:szCs w:val="2"/>
    </w:rPr>
  </w:style>
  <w:style w:type="character" w:customStyle="1" w:styleId="Small">
    <w:name w:val="Small"/>
    <w:basedOn w:val="DefaultParagraphFont"/>
    <w:rsid w:val="009B7B6A"/>
    <w:rPr>
      <w:sz w:val="16"/>
    </w:rPr>
  </w:style>
  <w:style w:type="paragraph" w:customStyle="1" w:styleId="WideTable">
    <w:name w:val="Wide Table"/>
    <w:basedOn w:val="Normal"/>
    <w:rsid w:val="009B7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B6A"/>
  </w:style>
  <w:style w:type="paragraph" w:styleId="Quote">
    <w:name w:val="Quote"/>
    <w:basedOn w:val="Heading1"/>
    <w:link w:val="QuoteChar"/>
    <w:qFormat/>
    <w:rsid w:val="009B7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B6A"/>
    <w:pPr>
      <w:pageBreakBefore/>
    </w:pPr>
  </w:style>
  <w:style w:type="paragraph" w:customStyle="1" w:styleId="Border">
    <w:name w:val="Border"/>
    <w:basedOn w:val="Normal"/>
    <w:qFormat/>
    <w:rsid w:val="009B7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B6A"/>
    <w:rPr>
      <w:u w:val="single"/>
    </w:rPr>
  </w:style>
  <w:style w:type="character" w:customStyle="1" w:styleId="BoldandItalics">
    <w:name w:val="Bold and Italics"/>
    <w:qFormat/>
    <w:rsid w:val="009B7B6A"/>
    <w:rPr>
      <w:b/>
      <w:i/>
      <w:u w:val="none"/>
    </w:rPr>
  </w:style>
  <w:style w:type="paragraph" w:styleId="BalloonText">
    <w:name w:val="Balloon Text"/>
    <w:basedOn w:val="Normal"/>
    <w:link w:val="BalloonTextChar"/>
    <w:rsid w:val="009B7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B6A"/>
    <w:pPr>
      <w:spacing w:before="0" w:after="0"/>
    </w:pPr>
  </w:style>
  <w:style w:type="paragraph" w:customStyle="1" w:styleId="BodyTextBold">
    <w:name w:val="Body Text Bold"/>
    <w:basedOn w:val="BodyText"/>
    <w:qFormat/>
    <w:rsid w:val="009B7B6A"/>
    <w:rPr>
      <w:b/>
    </w:rPr>
  </w:style>
  <w:style w:type="character" w:styleId="Hyperlink">
    <w:name w:val="Hyperlink"/>
    <w:basedOn w:val="DefaultParagraphFont"/>
    <w:uiPriority w:val="99"/>
    <w:unhideWhenUsed/>
    <w:rsid w:val="002A2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2446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CPPACC4017 Prepare access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