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80F" w:rsidP="00147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CPPACC4016 Manage risk to access consulting operations</w:t>
      </w:r>
      <w:r>
        <w:fldChar w:fldCharType="end"/>
      </w:r>
    </w:p>
    <w:p w:rsidR="0014780F" w:rsidP="0014780F">
      <w:pPr>
        <w:pStyle w:val="Version"/>
        <w:sectPr w:rsidSect="00375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10E" w:rsidP="0037510E">
      <w:pPr>
        <w:pStyle w:val="SuperHeading"/>
      </w:pPr>
      <w:r w:rsidRPr="0037510E">
        <w:t>CPPACC4016 Manage risk to access consulting operations</w:t>
      </w:r>
    </w:p>
    <w:p w:rsidR="00000000" w:rsidRPr="0037510E" w:rsidP="0037510E">
      <w:pPr>
        <w:pStyle w:val="Heading1"/>
      </w:pPr>
      <w:bookmarkStart w:id="1" w:name="O_899963"/>
      <w:bookmarkEnd w:id="1"/>
      <w:r w:rsidRPr="003751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0E" w:rsidP="0037510E">
            <w:pPr>
              <w:pStyle w:val="BodyText"/>
            </w:pPr>
            <w:r w:rsidRPr="0037510E">
              <w:t>This unit first released with CPP Property Services Training Package Release 14.0.</w:t>
            </w:r>
          </w:p>
          <w:p w:rsidR="00000000" w:rsidRPr="0037510E" w:rsidP="0037510E">
            <w:pPr>
              <w:pStyle w:val="BodyText"/>
            </w:pPr>
            <w:r w:rsidRPr="0037510E">
              <w:t>Supersedes and is equivalent to CPPACC4016A Manage risk.  Unit title updated to clarify outcome.</w:t>
            </w:r>
          </w:p>
          <w:p w:rsidR="00000000" w:rsidRPr="0037510E" w:rsidP="0037510E">
            <w:pPr>
              <w:pStyle w:val="BodyText"/>
            </w:pPr>
            <w:r w:rsidRPr="0037510E">
              <w:t>Unit updated to meet the Stan</w:t>
            </w:r>
            <w:r w:rsidRPr="0037510E">
              <w:t>dards for Training Packages 2012.</w:t>
            </w:r>
          </w:p>
        </w:tc>
      </w:tr>
    </w:tbl>
    <w:p w:rsidR="00000000" w:rsidRPr="0037510E" w:rsidP="0037510E">
      <w:pPr>
        <w:pStyle w:val="BodyText"/>
      </w:pPr>
    </w:p>
    <w:p w:rsidR="00000000" w:rsidRPr="0037510E" w:rsidP="0037510E">
      <w:pPr>
        <w:pStyle w:val="AllowPageBreak"/>
      </w:pPr>
    </w:p>
    <w:p w:rsidR="00000000" w:rsidRPr="0037510E" w:rsidP="0037510E">
      <w:pPr>
        <w:pStyle w:val="Heading1"/>
      </w:pPr>
      <w:bookmarkStart w:id="2" w:name="O_899971"/>
      <w:bookmarkEnd w:id="2"/>
      <w:r w:rsidRPr="0037510E">
        <w:t>Application</w:t>
      </w:r>
    </w:p>
    <w:p w:rsidR="00000000" w:rsidRPr="0037510E" w:rsidP="0014780F">
      <w:pPr>
        <w:pStyle w:val="BodyText"/>
      </w:pPr>
      <w:r w:rsidRPr="0037510E">
        <w:t>This unit of competency specifies the skills and knowledge required to manage risks related to access consulting operations, including identifying and analysing risks to determine the level o</w:t>
      </w:r>
      <w:r w:rsidRPr="0037510E">
        <w:t>f risk exposure, and developing and implementing a risk management plan.</w:t>
      </w:r>
    </w:p>
    <w:p w:rsidR="00000000" w:rsidRPr="0037510E" w:rsidP="0014780F">
      <w:pPr>
        <w:pStyle w:val="BodyText"/>
      </w:pPr>
      <w:r w:rsidRPr="0037510E">
        <w:t>This unit is for individuals who work independently using specialised knowledge to conduct a range of access consulting services.</w:t>
      </w:r>
    </w:p>
    <w:p w:rsidR="00000000" w:rsidRPr="0037510E" w:rsidP="0014780F">
      <w:pPr>
        <w:pStyle w:val="BodyText"/>
      </w:pPr>
      <w:r w:rsidRPr="0037510E">
        <w:t>No licensing, legislative or certification requiremen</w:t>
      </w:r>
      <w:r w:rsidRPr="0037510E">
        <w:t>ts apply to this unit at the time of publication.</w:t>
      </w:r>
    </w:p>
    <w:p w:rsidR="00000000" w:rsidRPr="0037510E" w:rsidP="0037510E">
      <w:pPr>
        <w:pStyle w:val="Heading1"/>
      </w:pPr>
      <w:bookmarkStart w:id="3" w:name="O_899970"/>
      <w:bookmarkEnd w:id="3"/>
      <w:r w:rsidRPr="0037510E">
        <w:t>Pre-requisite Unit</w:t>
      </w:r>
    </w:p>
    <w:p w:rsidR="00000000" w:rsidRPr="0037510E" w:rsidP="0014780F">
      <w:pPr>
        <w:pStyle w:val="BodyText"/>
      </w:pPr>
      <w:r w:rsidRPr="0037510E">
        <w:t>Nil.</w:t>
      </w:r>
    </w:p>
    <w:p w:rsidR="00000000" w:rsidRPr="0037510E" w:rsidP="0037510E">
      <w:pPr>
        <w:pStyle w:val="Heading1"/>
      </w:pPr>
      <w:bookmarkStart w:id="4" w:name="O_899968"/>
      <w:bookmarkEnd w:id="4"/>
      <w:r w:rsidRPr="0037510E">
        <w:t>Unit Sector</w:t>
      </w:r>
    </w:p>
    <w:p w:rsidR="00000000" w:rsidRPr="0037510E" w:rsidP="0014780F">
      <w:pPr>
        <w:pStyle w:val="BodyText"/>
      </w:pPr>
      <w:r w:rsidRPr="0037510E">
        <w:t>Access Consulting.</w:t>
      </w:r>
    </w:p>
    <w:p w:rsidR="00000000" w:rsidRPr="0037510E" w:rsidP="0037510E">
      <w:pPr>
        <w:pStyle w:val="Heading1"/>
      </w:pPr>
      <w:bookmarkStart w:id="5" w:name="O_899967"/>
      <w:bookmarkEnd w:id="5"/>
      <w:r w:rsidRPr="003751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Performance criteria describe what needs to be done to demonstrate achievement of the element.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Identify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Use relevant risk assessment tools to collect current, accurate and relevant information on actual and potential risks to access consulti</w:t>
            </w:r>
            <w:r w:rsidRPr="0037510E">
              <w:t>ng operations.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Establish terms of reference and agreed timeframes for risk management in consultation with relevant persons.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Develop a structured plan for identifying and assessing risk likelihood in accordance with terms of reference and agreed timeframes.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Recognise limitations in identifying and assessing risks and seek assistance as required according to workplace requ</w:t>
            </w:r>
            <w:r w:rsidRPr="0037510E">
              <w:t>irements.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Analyse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Develop assessment criteria for measuring the level of potential or existing risk and assess consequences according to terms of reference.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Analyse valid and relevant data against assessment criteria to determine level of potential risk according to workplace requirements.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Identify gaps in assessment methodology and implement corrective actions according to workplace requirements.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Document risk analysis outcomes and disseminate to relevant persons according to workplace requirements.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Develop risk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Identify and assess industry and regulatory standards and procedures for incorporation into risk management plan.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Analyse and interpret workplace risk management policy.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 xml:space="preserve">Analyse workplace capability to either control or reduce the likelihood </w:t>
            </w:r>
            <w:r w:rsidRPr="0037510E">
              <w:t>of actual and potential risks.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Develop and document risk management plan and associated policies and procedures according to regulatory and workplace requirements.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Establish, and document within risk management plan, provisions for ongoing risk identification and staff training and education.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Recognise limitations in developing risk management plan and seek assistance as required.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Im</w:t>
            </w:r>
            <w:r w:rsidRPr="0037510E">
              <w:t xml:space="preserve">plement risk </w:t>
            </w:r>
            <w:r w:rsidRPr="0037510E">
              <w:t>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 xml:space="preserve">Apply procedures to eliminate unacceptable risks and </w:t>
            </w:r>
            <w:r w:rsidRPr="0037510E">
              <w:t>minimise other risks according to risk management plan.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Conduct access consulting operations in compliance with regulatory requirements and industry standards and</w:t>
            </w:r>
            <w:r w:rsidRPr="0037510E">
              <w:t xml:space="preserve"> procedures.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Identify and access opportunities for professional development.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Continuously monitor access consulting operations to identify potential risks and modify operations as required to comply with risk management plan.</w:t>
            </w:r>
          </w:p>
        </w:tc>
      </w:tr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0E" w:rsidP="0037510E">
            <w:pPr>
              <w:pStyle w:val="BodyText"/>
            </w:pPr>
            <w:r w:rsidRPr="0037510E">
              <w:t>Maintain copies of risk management plan and documentation for service provision for future reference according to regulatory and workplace requirements.</w:t>
            </w:r>
          </w:p>
        </w:tc>
      </w:tr>
    </w:tbl>
    <w:p w:rsidR="00000000" w:rsidRPr="0037510E" w:rsidP="0037510E">
      <w:pPr>
        <w:pStyle w:val="BodyText"/>
      </w:pPr>
    </w:p>
    <w:p w:rsidR="00000000" w:rsidRPr="0037510E" w:rsidP="0037510E">
      <w:pPr>
        <w:pStyle w:val="AllowPageBreak"/>
      </w:pPr>
    </w:p>
    <w:p w:rsidR="00000000" w:rsidRPr="0037510E" w:rsidP="0037510E">
      <w:pPr>
        <w:pStyle w:val="Heading1"/>
      </w:pPr>
      <w:bookmarkStart w:id="6" w:name="O_899966"/>
      <w:bookmarkEnd w:id="6"/>
      <w:r w:rsidRPr="0037510E">
        <w:t>Foundation Skills</w:t>
      </w:r>
    </w:p>
    <w:p w:rsidR="00000000" w:rsidRPr="0037510E" w:rsidP="0014780F">
      <w:pPr>
        <w:pStyle w:val="BodyText"/>
      </w:pPr>
      <w:r w:rsidRPr="0037510E">
        <w:t>Foundation skills essential to performance are explicit in the per</w:t>
      </w:r>
      <w:r w:rsidRPr="0037510E">
        <w:t>formance criteria of this unit of competency.</w:t>
      </w:r>
    </w:p>
    <w:p w:rsidR="00000000" w:rsidRPr="0037510E" w:rsidP="0037510E">
      <w:pPr>
        <w:pStyle w:val="Heading1"/>
      </w:pPr>
      <w:bookmarkStart w:id="7" w:name="O_899964"/>
      <w:bookmarkEnd w:id="7"/>
      <w:r w:rsidRPr="0037510E">
        <w:t>Unit Mapping Information</w:t>
      </w:r>
    </w:p>
    <w:p w:rsidR="00000000" w:rsidRPr="0037510E" w:rsidP="0014780F">
      <w:pPr>
        <w:pStyle w:val="BodyText"/>
      </w:pPr>
      <w:r w:rsidRPr="0037510E">
        <w:t>Supersedes and is equivalent to CPPACC4016A Manage risk.</w:t>
      </w:r>
    </w:p>
    <w:p w:rsidR="00000000" w:rsidRPr="0037510E" w:rsidP="0037510E">
      <w:pPr>
        <w:pStyle w:val="Heading1"/>
      </w:pPr>
      <w:bookmarkStart w:id="8" w:name="O_899957"/>
      <w:bookmarkEnd w:id="8"/>
      <w:r w:rsidRPr="0037510E">
        <w:t>Links</w:t>
      </w:r>
    </w:p>
    <w:p w:rsidR="00000000" w:rsidRPr="0037510E" w:rsidP="0014780F">
      <w:pPr>
        <w:pStyle w:val="BodyText"/>
      </w:pPr>
      <w:r w:rsidRPr="0037510E">
        <w:t>Companion Volume implementation guides are f</w:t>
      </w:r>
      <w:r w:rsidRPr="0037510E">
        <w:t xml:space="preserve">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10A9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7510E" w:rsidP="0014780F">
      <w:pPr>
        <w:pStyle w:val="BodyText"/>
        <w:sectPr w:rsidSect="003751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510E" w:rsidP="0037510E">
      <w:pPr>
        <w:pStyle w:val="SuperHeading"/>
      </w:pPr>
      <w:r w:rsidRPr="0037510E">
        <w:t>Assessment Requirements for CPPACC4016 Manage risk to access consulting operations</w:t>
      </w:r>
    </w:p>
    <w:p w:rsidR="00000000" w:rsidRPr="0037510E" w:rsidP="0037510E">
      <w:pPr>
        <w:pStyle w:val="Heading1"/>
      </w:pPr>
      <w:bookmarkStart w:id="9" w:name="O_899959"/>
      <w:bookmarkEnd w:id="9"/>
      <w:r w:rsidRPr="0037510E">
        <w:t>Modifica</w:t>
      </w:r>
      <w:r w:rsidRPr="0037510E">
        <w:t>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7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0E">
            <w:pPr>
              <w:pStyle w:val="BodyText"/>
              <w:rPr>
                <w:lang w:val="en-NZ"/>
              </w:rPr>
            </w:pPr>
            <w:r w:rsidRPr="0037510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0E" w:rsidP="0037510E">
            <w:pPr>
              <w:pStyle w:val="BodyText"/>
            </w:pPr>
            <w:r w:rsidRPr="0037510E">
              <w:t>This unit first released with CPP Property Services Training Package Release 14.0.</w:t>
            </w:r>
          </w:p>
          <w:p w:rsidR="00000000" w:rsidRPr="0037510E" w:rsidP="0037510E">
            <w:pPr>
              <w:pStyle w:val="BodyText"/>
            </w:pPr>
            <w:r w:rsidRPr="0037510E">
              <w:t>Supersedes and is equivalent to CPPACC4016A Manage risk.  Unit title updated to clarify outcome.</w:t>
            </w:r>
          </w:p>
          <w:p w:rsidR="00000000" w:rsidRPr="0037510E" w:rsidP="0037510E">
            <w:pPr>
              <w:pStyle w:val="BodyText"/>
            </w:pPr>
            <w:r w:rsidRPr="0037510E">
              <w:t>Unit updated to meet the Standards for Training Packa</w:t>
            </w:r>
            <w:r w:rsidRPr="0037510E">
              <w:t>ges 2012.</w:t>
            </w:r>
          </w:p>
        </w:tc>
      </w:tr>
    </w:tbl>
    <w:p w:rsidR="00000000" w:rsidRPr="0037510E" w:rsidP="0037510E">
      <w:pPr>
        <w:pStyle w:val="BodyText"/>
      </w:pPr>
    </w:p>
    <w:p w:rsidR="00000000" w:rsidRPr="0037510E" w:rsidP="0037510E">
      <w:pPr>
        <w:pStyle w:val="AllowPageBreak"/>
      </w:pPr>
    </w:p>
    <w:p w:rsidR="00000000" w:rsidRPr="0037510E" w:rsidP="0037510E">
      <w:pPr>
        <w:pStyle w:val="Heading1"/>
      </w:pPr>
      <w:bookmarkStart w:id="10" w:name="O_899962"/>
      <w:bookmarkEnd w:id="10"/>
      <w:r w:rsidRPr="0037510E">
        <w:t>Performance Evidence</w:t>
      </w:r>
    </w:p>
    <w:p w:rsidR="00000000" w:rsidRPr="0037510E" w:rsidP="0014780F">
      <w:pPr>
        <w:pStyle w:val="BodyText"/>
      </w:pPr>
      <w:r w:rsidRPr="0037510E">
        <w:t>To demonstrate competency, a candidate must meet the elements and performance criteria of this unit by managing risk to access consulting operations involving the development, documentation and implementati</w:t>
      </w:r>
      <w:r w:rsidRPr="0037510E">
        <w:t>on of one comprehensive risk management plan.</w:t>
      </w:r>
    </w:p>
    <w:p w:rsidR="00000000" w:rsidRPr="0037510E" w:rsidP="0037510E">
      <w:pPr>
        <w:pStyle w:val="Heading1"/>
      </w:pPr>
      <w:bookmarkStart w:id="11" w:name="O_899961"/>
      <w:bookmarkEnd w:id="11"/>
      <w:r w:rsidRPr="0037510E">
        <w:t>Knowledge Evidence</w:t>
      </w:r>
    </w:p>
    <w:p w:rsidR="00000000" w:rsidRPr="0037510E" w:rsidP="0014780F">
      <w:pPr>
        <w:pStyle w:val="BodyText"/>
      </w:pPr>
      <w:r w:rsidRPr="0037510E">
        <w:t>To be competent in this unit, a candidate must demonstrate knowledge of:</w:t>
      </w:r>
    </w:p>
    <w:p w:rsidR="00000000" w:rsidRPr="0037510E" w:rsidP="0037510E">
      <w:pPr>
        <w:pStyle w:val="ListBullet"/>
      </w:pPr>
      <w:r w:rsidRPr="0037510E">
        <w:t>Commonwealth, state and territory legislation, regulations, codes and standards relevant to access consulting operations:</w:t>
      </w:r>
    </w:p>
    <w:p w:rsidR="00000000" w:rsidRPr="0037510E" w:rsidP="0037510E">
      <w:pPr>
        <w:pStyle w:val="ListBullet2"/>
      </w:pPr>
      <w:r w:rsidRPr="0037510E">
        <w:t>anti-discrimination and disability discrimination</w:t>
      </w:r>
    </w:p>
    <w:p w:rsidR="00000000" w:rsidRPr="0037510E" w:rsidP="0037510E">
      <w:pPr>
        <w:pStyle w:val="ListBullet2"/>
      </w:pPr>
      <w:r w:rsidRPr="0037510E">
        <w:t>building control including local government regulations and by-laws</w:t>
      </w:r>
    </w:p>
    <w:p w:rsidR="00000000" w:rsidRPr="0037510E" w:rsidP="0037510E">
      <w:pPr>
        <w:pStyle w:val="ListBullet2"/>
      </w:pPr>
      <w:r w:rsidRPr="0037510E">
        <w:t>duty of care</w:t>
      </w:r>
    </w:p>
    <w:p w:rsidR="00000000" w:rsidRPr="0037510E" w:rsidP="0037510E">
      <w:pPr>
        <w:pStyle w:val="ListBullet2"/>
      </w:pPr>
      <w:r w:rsidRPr="0037510E">
        <w:t>Na</w:t>
      </w:r>
      <w:r w:rsidRPr="0037510E">
        <w:t>tional Construction Code (NCC) building classifications and access requirements</w:t>
      </w:r>
    </w:p>
    <w:p w:rsidR="00000000" w:rsidRPr="0037510E" w:rsidP="0037510E">
      <w:pPr>
        <w:pStyle w:val="ListBullet2"/>
      </w:pPr>
      <w:r w:rsidRPr="0037510E">
        <w:t>National Disability Insurance Scheme (NDIS) Specialist Disability Accommodation Design Standard (or its successor)</w:t>
      </w:r>
    </w:p>
    <w:p w:rsidR="00000000" w:rsidRPr="0037510E" w:rsidP="0037510E">
      <w:pPr>
        <w:pStyle w:val="ListBullet2"/>
      </w:pPr>
      <w:r w:rsidRPr="0037510E">
        <w:t>Livable Housing Australia Livable Housing Design Guidelines (</w:t>
      </w:r>
      <w:r w:rsidRPr="0037510E">
        <w:t>or its successor)</w:t>
      </w:r>
    </w:p>
    <w:p w:rsidR="00000000" w:rsidRPr="0037510E" w:rsidP="0037510E">
      <w:pPr>
        <w:pStyle w:val="ListBullet2"/>
      </w:pPr>
      <w:r w:rsidRPr="0037510E">
        <w:t>principles of universal design</w:t>
      </w:r>
    </w:p>
    <w:p w:rsidR="00000000" w:rsidRPr="0037510E" w:rsidP="0037510E">
      <w:pPr>
        <w:pStyle w:val="ListBullet2"/>
      </w:pPr>
      <w:r w:rsidRPr="0037510E">
        <w:t>privacy and confidentiality</w:t>
      </w:r>
    </w:p>
    <w:p w:rsidR="00000000" w:rsidRPr="0037510E" w:rsidP="0037510E">
      <w:pPr>
        <w:pStyle w:val="ListBullet2"/>
      </w:pPr>
      <w:r w:rsidRPr="0037510E">
        <w:t>risk management</w:t>
      </w:r>
    </w:p>
    <w:p w:rsidR="00000000" w:rsidRPr="0037510E" w:rsidP="0037510E">
      <w:pPr>
        <w:pStyle w:val="ListBullet2"/>
      </w:pPr>
      <w:r w:rsidRPr="0037510E">
        <w:t>work health and safety (WHS)</w:t>
      </w:r>
    </w:p>
    <w:p w:rsidR="00000000" w:rsidRPr="0037510E" w:rsidP="0037510E">
      <w:pPr>
        <w:pStyle w:val="ListBullet"/>
      </w:pPr>
      <w:r w:rsidRPr="0037510E">
        <w:t>industry codes and standards relevant to access consulting operations:</w:t>
      </w:r>
    </w:p>
    <w:p w:rsidR="00000000" w:rsidRPr="0037510E" w:rsidP="0037510E">
      <w:pPr>
        <w:pStyle w:val="ListBullet2"/>
      </w:pPr>
      <w:r w:rsidRPr="0037510E">
        <w:t>codes of practice and ethics</w:t>
      </w:r>
    </w:p>
    <w:p w:rsidR="00000000" w:rsidRPr="0037510E" w:rsidP="0037510E">
      <w:pPr>
        <w:pStyle w:val="ListBullet2"/>
      </w:pPr>
      <w:r w:rsidRPr="0037510E">
        <w:t>professional procedures and business standards</w:t>
      </w:r>
    </w:p>
    <w:p w:rsidR="00000000" w:rsidRPr="0037510E" w:rsidP="0037510E">
      <w:pPr>
        <w:pStyle w:val="ListBullet"/>
      </w:pPr>
      <w:r w:rsidRPr="0037510E">
        <w:t>format and content of risk management plans including associated policies and procedures</w:t>
      </w:r>
    </w:p>
    <w:p w:rsidR="00000000" w:rsidRPr="0037510E" w:rsidP="0037510E">
      <w:pPr>
        <w:pStyle w:val="ListBullet"/>
      </w:pPr>
      <w:r w:rsidRPr="0037510E">
        <w:t>risk management processes and tools:</w:t>
      </w:r>
    </w:p>
    <w:p w:rsidR="00000000" w:rsidRPr="0037510E" w:rsidP="0037510E">
      <w:pPr>
        <w:pStyle w:val="ListBullet2"/>
      </w:pPr>
      <w:r w:rsidRPr="0037510E">
        <w:t>risk identification and assessment</w:t>
      </w:r>
    </w:p>
    <w:p w:rsidR="00000000" w:rsidRPr="0037510E" w:rsidP="0037510E">
      <w:pPr>
        <w:pStyle w:val="ListBullet2"/>
      </w:pPr>
      <w:r w:rsidRPr="0037510E">
        <w:t>criteria used to measure the level of potentia</w:t>
      </w:r>
      <w:r w:rsidRPr="0037510E">
        <w:t>l or existing risk and assess consequences</w:t>
      </w:r>
    </w:p>
    <w:p w:rsidR="00000000" w:rsidRPr="0037510E" w:rsidP="0037510E">
      <w:pPr>
        <w:pStyle w:val="ListBullet"/>
      </w:pPr>
      <w:r w:rsidRPr="0037510E">
        <w:t>types of disability and limitations that each disability places on an individual’s ability to access the environment</w:t>
      </w:r>
    </w:p>
    <w:p w:rsidR="00000000" w:rsidRPr="0037510E" w:rsidP="0037510E">
      <w:pPr>
        <w:pStyle w:val="ListBullet"/>
      </w:pPr>
      <w:r w:rsidRPr="0037510E">
        <w:t>workplace requirements for managing risk to access consulting operations:</w:t>
      </w:r>
    </w:p>
    <w:p w:rsidR="00000000" w:rsidRPr="0037510E" w:rsidP="0037510E">
      <w:pPr>
        <w:pStyle w:val="ListBullet2"/>
      </w:pPr>
      <w:r w:rsidRPr="0037510E">
        <w:t>business and perform</w:t>
      </w:r>
      <w:r w:rsidRPr="0037510E">
        <w:t>ance plans</w:t>
      </w:r>
    </w:p>
    <w:p w:rsidR="00000000" w:rsidRPr="0037510E" w:rsidP="0037510E">
      <w:pPr>
        <w:pStyle w:val="ListBullet2"/>
      </w:pPr>
      <w:r w:rsidRPr="0037510E">
        <w:t>client service</w:t>
      </w:r>
    </w:p>
    <w:p w:rsidR="00000000" w:rsidRPr="0037510E" w:rsidP="0037510E">
      <w:pPr>
        <w:pStyle w:val="ListBullet2"/>
      </w:pPr>
      <w:r w:rsidRPr="0037510E">
        <w:t>documentation, reports and records administration</w:t>
      </w:r>
    </w:p>
    <w:p w:rsidR="00000000" w:rsidRPr="0037510E" w:rsidP="0037510E">
      <w:pPr>
        <w:pStyle w:val="ListBullet2"/>
      </w:pPr>
      <w:r w:rsidRPr="0037510E">
        <w:t>quality</w:t>
      </w:r>
    </w:p>
    <w:p w:rsidR="00000000" w:rsidRPr="0037510E" w:rsidP="0037510E">
      <w:pPr>
        <w:pStyle w:val="ListBullet2"/>
      </w:pPr>
      <w:r w:rsidRPr="0037510E">
        <w:t>work role boundaries - responsibilities, limitations and professional abilities.</w:t>
      </w:r>
    </w:p>
    <w:p w:rsidR="00000000" w:rsidRPr="0037510E" w:rsidP="0037510E">
      <w:pPr>
        <w:pStyle w:val="AllowPageBreak"/>
      </w:pPr>
    </w:p>
    <w:p w:rsidR="00000000" w:rsidRPr="0037510E" w:rsidP="0037510E">
      <w:pPr>
        <w:pStyle w:val="Heading1"/>
      </w:pPr>
      <w:bookmarkStart w:id="12" w:name="O_899960"/>
      <w:bookmarkEnd w:id="12"/>
      <w:r w:rsidRPr="0037510E">
        <w:t>Assessment Conditions</w:t>
      </w:r>
    </w:p>
    <w:p w:rsidR="00000000" w:rsidRPr="0037510E" w:rsidP="0014780F">
      <w:pPr>
        <w:pStyle w:val="BodyText"/>
      </w:pPr>
      <w:r w:rsidRPr="0037510E">
        <w:t xml:space="preserve">Assessors must meet the requirements for assessors contained in the Standards for Registered Training Organisations. </w:t>
      </w:r>
    </w:p>
    <w:p w:rsidR="00000000" w:rsidRPr="0037510E" w:rsidP="0014780F">
      <w:pPr>
        <w:pStyle w:val="BodyText"/>
      </w:pPr>
      <w:r w:rsidRPr="0037510E">
        <w:t>Assessment must be conducted in the workplace or a simulated workplace using realistic conditions, materials, activities, responsibilities</w:t>
      </w:r>
      <w:r w:rsidRPr="0037510E">
        <w:t>, procedures, safety requirements and environmental considerations.</w:t>
      </w:r>
    </w:p>
    <w:p w:rsidR="00000000" w:rsidRPr="0037510E" w:rsidP="0014780F">
      <w:pPr>
        <w:pStyle w:val="BodyText"/>
      </w:pPr>
      <w:r w:rsidRPr="0037510E">
        <w:t>Candidates must have access to documentation, information and technologies required to achieve the performance criteria and performance evidence.</w:t>
      </w:r>
    </w:p>
    <w:p w:rsidR="00000000" w:rsidRPr="0037510E" w:rsidP="0037510E">
      <w:pPr>
        <w:pStyle w:val="Heading1"/>
      </w:pPr>
      <w:bookmarkStart w:id="13" w:name="O_899958"/>
      <w:bookmarkEnd w:id="13"/>
      <w:r w:rsidRPr="0037510E">
        <w:t>Links</w:t>
      </w:r>
    </w:p>
    <w:p w:rsidR="00000000" w:rsidRPr="0037510E" w:rsidP="0014780F">
      <w:pPr>
        <w:pStyle w:val="BodyText"/>
      </w:pPr>
      <w:r w:rsidRPr="0037510E">
        <w:t>Companion Volume im</w:t>
      </w:r>
      <w:r w:rsidRPr="0037510E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10A9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7510E" w:rsidP="0037510E"/>
    <w:sectPr w:rsidSect="003751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0E" w:rsidRPr="0014780F" w:rsidP="00147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0F" w:rsidP="00375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80F" w:rsidP="00375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4780F" w:rsidP="003751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0E" w:rsidP="00375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780F">
      <w:t>Approved</w:t>
    </w:r>
    <w:r w:rsidR="001478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78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780F">
      <w:rPr>
        <w:noProof/>
      </w:rPr>
      <w:t>4</w:t>
    </w:r>
    <w:r>
      <w:rPr>
        <w:noProof/>
      </w:rPr>
      <w:fldChar w:fldCharType="end"/>
    </w:r>
  </w:p>
  <w:p w:rsidR="0037510E" w:rsidP="00375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78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780F">
      <w:t>BuildSkills Australia</w:t>
    </w:r>
    <w:r w:rsidR="0014780F">
      <w:fldChar w:fldCharType="end"/>
    </w:r>
  </w:p>
  <w:p w:rsidR="0037510E" w:rsidP="00375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10E" w:rsidRPr="0014780F" w:rsidP="00147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0F" w:rsidRPr="002D2AF8" w:rsidP="00375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CPPACC4016 Manage risk to access consulting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780F" w:rsidP="003751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0E" w:rsidRPr="002D2AF8" w:rsidP="00375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780F">
      <w:t>CPPACC4016 Manage risk to access consulting operations</w:t>
    </w:r>
    <w:r w:rsidR="001478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780F">
      <w:rPr>
        <w:noProof/>
      </w:rPr>
      <w:t>2 March 2025</w:t>
    </w:r>
    <w:r>
      <w:fldChar w:fldCharType="end"/>
    </w:r>
  </w:p>
  <w:p w:rsidR="0037510E" w:rsidP="00375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62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940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22A6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10E"/>
  </w:style>
  <w:style w:type="character" w:customStyle="1" w:styleId="Heading1Char">
    <w:name w:val="Heading 1 Char"/>
    <w:basedOn w:val="DefaultParagraphFont"/>
    <w:link w:val="Heading1"/>
    <w:rsid w:val="00375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1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51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10E"/>
    <w:rPr>
      <w:b/>
      <w:spacing w:val="0"/>
    </w:rPr>
  </w:style>
  <w:style w:type="paragraph" w:customStyle="1" w:styleId="SuperTitle">
    <w:name w:val="SuperTitle"/>
    <w:basedOn w:val="Title"/>
    <w:rsid w:val="00375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10E"/>
    <w:rPr>
      <w:i/>
    </w:rPr>
  </w:style>
  <w:style w:type="paragraph" w:styleId="Caption">
    <w:name w:val="caption"/>
    <w:basedOn w:val="BodyText"/>
    <w:next w:val="Normal"/>
    <w:qFormat/>
    <w:rsid w:val="00375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10E"/>
  </w:style>
  <w:style w:type="paragraph" w:styleId="TableofFigures">
    <w:name w:val="table of figures"/>
    <w:basedOn w:val="Normal"/>
    <w:next w:val="Normal"/>
    <w:semiHidden/>
    <w:rsid w:val="00375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1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10E"/>
    <w:rPr>
      <w:rFonts w:ascii="Wingdings" w:hAnsi="Wingdings"/>
    </w:rPr>
  </w:style>
  <w:style w:type="paragraph" w:customStyle="1" w:styleId="TableHeading">
    <w:name w:val="Table Heading"/>
    <w:basedOn w:val="HeadingBase"/>
    <w:rsid w:val="00375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10E"/>
    <w:rPr>
      <w:color w:val="0033CC"/>
      <w:u w:val="none"/>
    </w:rPr>
  </w:style>
  <w:style w:type="paragraph" w:customStyle="1" w:styleId="BodyTextRight">
    <w:name w:val="Body Text Right"/>
    <w:basedOn w:val="BodyText"/>
    <w:rsid w:val="00375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1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10E"/>
    <w:rPr>
      <w:sz w:val="32"/>
    </w:rPr>
  </w:style>
  <w:style w:type="paragraph" w:customStyle="1" w:styleId="HeadingProcedure">
    <w:name w:val="Heading Procedure"/>
    <w:basedOn w:val="HeadingBase"/>
    <w:next w:val="Normal"/>
    <w:rsid w:val="00375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10E"/>
    <w:pPr>
      <w:spacing w:before="60" w:after="60"/>
    </w:pPr>
  </w:style>
  <w:style w:type="paragraph" w:styleId="ListContinue">
    <w:name w:val="List Continue"/>
    <w:basedOn w:val="List"/>
    <w:rsid w:val="0037510E"/>
    <w:pPr>
      <w:ind w:firstLine="0"/>
    </w:pPr>
  </w:style>
  <w:style w:type="paragraph" w:customStyle="1" w:styleId="ListNote">
    <w:name w:val="List Note"/>
    <w:basedOn w:val="List"/>
    <w:rsid w:val="00375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10E"/>
    <w:rPr>
      <w:rFonts w:ascii="Courier New" w:hAnsi="Courier New"/>
    </w:rPr>
  </w:style>
  <w:style w:type="paragraph" w:customStyle="1" w:styleId="NoteBullet">
    <w:name w:val="Note Bullet"/>
    <w:basedOn w:val="Note"/>
    <w:rsid w:val="00375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1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10E"/>
    <w:rPr>
      <w:b/>
      <w:smallCaps/>
    </w:rPr>
  </w:style>
  <w:style w:type="paragraph" w:customStyle="1" w:styleId="TableListNumber">
    <w:name w:val="Table List Number"/>
    <w:basedOn w:val="ListNumber"/>
    <w:rsid w:val="00375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10E"/>
    <w:pPr>
      <w:numPr>
        <w:numId w:val="9"/>
      </w:numPr>
    </w:pPr>
  </w:style>
  <w:style w:type="paragraph" w:customStyle="1" w:styleId="ListAlpha2">
    <w:name w:val="List Alpha 2"/>
    <w:basedOn w:val="List2"/>
    <w:rsid w:val="0037510E"/>
    <w:pPr>
      <w:numPr>
        <w:numId w:val="8"/>
      </w:numPr>
    </w:pPr>
  </w:style>
  <w:style w:type="paragraph" w:styleId="List2">
    <w:name w:val="List 2"/>
    <w:basedOn w:val="BodyText"/>
    <w:rsid w:val="00375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1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1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10E"/>
    <w:pPr>
      <w:numPr>
        <w:numId w:val="4"/>
      </w:numPr>
    </w:pPr>
  </w:style>
  <w:style w:type="paragraph" w:styleId="ListContinue2">
    <w:name w:val="List Continue 2"/>
    <w:basedOn w:val="List2"/>
    <w:rsid w:val="0037510E"/>
    <w:pPr>
      <w:ind w:firstLine="0"/>
    </w:pPr>
  </w:style>
  <w:style w:type="paragraph" w:styleId="ListContinue3">
    <w:name w:val="List Continue 3"/>
    <w:basedOn w:val="List3"/>
    <w:rsid w:val="0037510E"/>
    <w:pPr>
      <w:ind w:left="1021" w:firstLine="0"/>
    </w:pPr>
  </w:style>
  <w:style w:type="paragraph" w:styleId="ListContinue4">
    <w:name w:val="List Continue 4"/>
    <w:basedOn w:val="List4"/>
    <w:rsid w:val="0037510E"/>
    <w:pPr>
      <w:ind w:firstLine="0"/>
    </w:pPr>
  </w:style>
  <w:style w:type="paragraph" w:styleId="ListContinue5">
    <w:name w:val="List Continue 5"/>
    <w:basedOn w:val="List5"/>
    <w:rsid w:val="0037510E"/>
    <w:pPr>
      <w:ind w:firstLine="0"/>
    </w:pPr>
  </w:style>
  <w:style w:type="paragraph" w:styleId="ListNumber3">
    <w:name w:val="List Number 3"/>
    <w:basedOn w:val="List3"/>
    <w:rsid w:val="0037510E"/>
    <w:pPr>
      <w:numPr>
        <w:numId w:val="5"/>
      </w:numPr>
    </w:pPr>
  </w:style>
  <w:style w:type="paragraph" w:styleId="ListNumber4">
    <w:name w:val="List Number 4"/>
    <w:basedOn w:val="List4"/>
    <w:rsid w:val="0037510E"/>
    <w:pPr>
      <w:numPr>
        <w:numId w:val="6"/>
      </w:numPr>
    </w:pPr>
  </w:style>
  <w:style w:type="paragraph" w:styleId="ListNumber5">
    <w:name w:val="List Number 5"/>
    <w:basedOn w:val="List5"/>
    <w:rsid w:val="0037510E"/>
    <w:pPr>
      <w:numPr>
        <w:numId w:val="7"/>
      </w:numPr>
    </w:pPr>
  </w:style>
  <w:style w:type="paragraph" w:styleId="BlockText">
    <w:name w:val="Block Text"/>
    <w:basedOn w:val="Normal"/>
    <w:rsid w:val="00375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10E"/>
    <w:rPr>
      <w:sz w:val="16"/>
      <w:vertAlign w:val="superscript"/>
    </w:rPr>
  </w:style>
  <w:style w:type="character" w:customStyle="1" w:styleId="Symbols">
    <w:name w:val="Symbols"/>
    <w:basedOn w:val="DefaultParagraphFont"/>
    <w:rsid w:val="0037510E"/>
    <w:rPr>
      <w:rFonts w:ascii="Symbol" w:hAnsi="Symbol"/>
    </w:rPr>
  </w:style>
  <w:style w:type="character" w:customStyle="1" w:styleId="MenuOptions">
    <w:name w:val="Menu Options"/>
    <w:basedOn w:val="DefaultParagraphFont"/>
    <w:rsid w:val="00375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10E"/>
    <w:rPr>
      <w:b/>
    </w:rPr>
  </w:style>
  <w:style w:type="character" w:customStyle="1" w:styleId="Underlined">
    <w:name w:val="Underlined"/>
    <w:basedOn w:val="DefaultParagraphFont"/>
    <w:rsid w:val="0037510E"/>
    <w:rPr>
      <w:u w:val="single"/>
    </w:rPr>
  </w:style>
  <w:style w:type="paragraph" w:customStyle="1" w:styleId="TableBodyTextRight">
    <w:name w:val="Table Body Text Right"/>
    <w:basedOn w:val="TableBodyText"/>
    <w:rsid w:val="00375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10E"/>
    <w:rPr>
      <w:sz w:val="18"/>
    </w:rPr>
  </w:style>
  <w:style w:type="paragraph" w:customStyle="1" w:styleId="BodySmallRight">
    <w:name w:val="Body Small Right"/>
    <w:basedOn w:val="BodyTextRight"/>
    <w:rsid w:val="0037510E"/>
    <w:rPr>
      <w:sz w:val="18"/>
      <w:szCs w:val="18"/>
    </w:rPr>
  </w:style>
  <w:style w:type="paragraph" w:customStyle="1" w:styleId="MarginEdition">
    <w:name w:val="Margin Edition"/>
    <w:basedOn w:val="MarginNote"/>
    <w:rsid w:val="00375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10E"/>
    <w:rPr>
      <w:sz w:val="2"/>
      <w:szCs w:val="2"/>
    </w:rPr>
  </w:style>
  <w:style w:type="character" w:customStyle="1" w:styleId="Small">
    <w:name w:val="Small"/>
    <w:basedOn w:val="DefaultParagraphFont"/>
    <w:rsid w:val="0037510E"/>
    <w:rPr>
      <w:sz w:val="16"/>
    </w:rPr>
  </w:style>
  <w:style w:type="paragraph" w:customStyle="1" w:styleId="WideTable">
    <w:name w:val="Wide Table"/>
    <w:basedOn w:val="Normal"/>
    <w:rsid w:val="00375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10E"/>
  </w:style>
  <w:style w:type="paragraph" w:styleId="Quote">
    <w:name w:val="Quote"/>
    <w:basedOn w:val="Heading1"/>
    <w:link w:val="QuoteChar"/>
    <w:qFormat/>
    <w:rsid w:val="00375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10E"/>
    <w:pPr>
      <w:pageBreakBefore/>
    </w:pPr>
  </w:style>
  <w:style w:type="paragraph" w:customStyle="1" w:styleId="Border">
    <w:name w:val="Border"/>
    <w:basedOn w:val="Normal"/>
    <w:qFormat/>
    <w:rsid w:val="00375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10E"/>
    <w:rPr>
      <w:u w:val="single"/>
    </w:rPr>
  </w:style>
  <w:style w:type="character" w:customStyle="1" w:styleId="BoldandItalics">
    <w:name w:val="Bold and Italics"/>
    <w:qFormat/>
    <w:rsid w:val="0037510E"/>
    <w:rPr>
      <w:b/>
      <w:i/>
      <w:u w:val="none"/>
    </w:rPr>
  </w:style>
  <w:style w:type="paragraph" w:styleId="BalloonText">
    <w:name w:val="Balloon Text"/>
    <w:basedOn w:val="Normal"/>
    <w:link w:val="BalloonTextChar"/>
    <w:rsid w:val="00375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10E"/>
    <w:pPr>
      <w:spacing w:before="0" w:after="0"/>
    </w:pPr>
  </w:style>
  <w:style w:type="paragraph" w:customStyle="1" w:styleId="BodyTextBold">
    <w:name w:val="Body Text Bold"/>
    <w:basedOn w:val="BodyText"/>
    <w:qFormat/>
    <w:rsid w:val="0037510E"/>
    <w:rPr>
      <w:b/>
    </w:rPr>
  </w:style>
  <w:style w:type="character" w:styleId="Hyperlink">
    <w:name w:val="Hyperlink"/>
    <w:basedOn w:val="DefaultParagraphFont"/>
    <w:uiPriority w:val="99"/>
    <w:unhideWhenUsed/>
    <w:rsid w:val="00147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6095</Characters>
  <Application>Microsoft Office Word</Application>
  <DocSecurity>0</DocSecurity>
  <Lines>234</Lines>
  <Paragraphs>134</Paragraphs>
  <ScaleCrop>false</ScaleCrop>
  <Company>Author-it Software Corporation Ltd.</Company>
  <LinksUpToDate>false</LinksUpToDate>
  <CharactersWithSpaces>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CPPACC4016 Manage risk to access consulting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