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2DE" w:rsidP="006D0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CPPACC4014 Facilitate the development of DDA Action Plans</w:t>
      </w:r>
      <w:r>
        <w:fldChar w:fldCharType="end"/>
      </w:r>
    </w:p>
    <w:p w:rsidR="006D02DE" w:rsidP="006D02DE">
      <w:pPr>
        <w:pStyle w:val="Version"/>
        <w:sectPr w:rsidSect="00BB2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FD0" w:rsidP="00BB2FD0">
      <w:pPr>
        <w:pStyle w:val="SuperHeading"/>
      </w:pPr>
      <w:r w:rsidRPr="00BB2FD0">
        <w:t>Assessment Requirements for CPPACC4014 Facilitate the development of DDA Action Plans</w:t>
      </w:r>
    </w:p>
    <w:p w:rsidR="00000000" w:rsidRPr="00BB2FD0" w:rsidP="00BB2FD0">
      <w:pPr>
        <w:pStyle w:val="Heading1"/>
      </w:pPr>
      <w:bookmarkStart w:id="1" w:name="O_899769"/>
      <w:bookmarkEnd w:id="1"/>
      <w:r w:rsidRPr="00BB2F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B2F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FD0">
            <w:pPr>
              <w:pStyle w:val="BodyText"/>
              <w:rPr>
                <w:lang w:val="en-NZ"/>
              </w:rPr>
            </w:pPr>
            <w:r w:rsidRPr="00BB2F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FD0" w:rsidP="00BB2FD0">
            <w:pPr>
              <w:pStyle w:val="BodyText"/>
            </w:pPr>
            <w:r w:rsidRPr="00BB2FD0">
              <w:t>This unit first released with CPP Property Services Training Package Release 14.0.</w:t>
            </w:r>
          </w:p>
          <w:p w:rsidR="00000000" w:rsidRPr="00BB2FD0" w:rsidP="00BB2FD0">
            <w:pPr>
              <w:pStyle w:val="BodyText"/>
            </w:pPr>
            <w:r w:rsidRPr="00BB2FD0">
              <w:t>Supersedes and is equivalent to CPPACC4014A Facilitate the development of Disability Discrimination Act Action Plans. Minor change to unit title.</w:t>
            </w:r>
          </w:p>
          <w:p w:rsidR="00000000" w:rsidRPr="00BB2FD0" w:rsidP="00BB2FD0">
            <w:pPr>
              <w:pStyle w:val="BodyText"/>
            </w:pPr>
            <w:r w:rsidRPr="00BB2FD0">
              <w:t xml:space="preserve">Unit updated to meet the Standards for Training Packages 2012. </w:t>
            </w:r>
          </w:p>
        </w:tc>
      </w:tr>
    </w:tbl>
    <w:p w:rsidR="00000000" w:rsidRPr="00BB2FD0" w:rsidP="00BB2FD0">
      <w:pPr>
        <w:pStyle w:val="BodyText"/>
      </w:pPr>
    </w:p>
    <w:p w:rsidR="00000000" w:rsidRPr="00BB2FD0" w:rsidP="00BB2FD0">
      <w:pPr>
        <w:pStyle w:val="AllowPageBreak"/>
      </w:pPr>
    </w:p>
    <w:p w:rsidR="00000000" w:rsidRPr="00BB2FD0" w:rsidP="00BB2FD0">
      <w:pPr>
        <w:pStyle w:val="Heading1"/>
      </w:pPr>
      <w:bookmarkStart w:id="2" w:name="O_899772"/>
      <w:bookmarkEnd w:id="2"/>
      <w:r w:rsidRPr="00BB2FD0">
        <w:t>Performance Evidence</w:t>
      </w:r>
    </w:p>
    <w:p w:rsidR="00000000" w:rsidRPr="00BB2FD0" w:rsidP="006D02DE">
      <w:pPr>
        <w:pStyle w:val="BodyText"/>
      </w:pPr>
      <w:r w:rsidRPr="00BB2FD0">
        <w:t>To dem</w:t>
      </w:r>
      <w:r w:rsidRPr="00BB2FD0">
        <w:t xml:space="preserve">onstrate competency, a candidate must meet the elements and performance criteria of this unit by working with one client to facilitate the development of a </w:t>
      </w:r>
      <w:r w:rsidRPr="00BB2FD0">
        <w:rPr>
          <w:rStyle w:val="Emphasis"/>
        </w:rPr>
        <w:t xml:space="preserve">Disability Discrimination Act 1992 </w:t>
      </w:r>
      <w:r w:rsidRPr="00BB2FD0">
        <w:t>(DDA) Action Plan.</w:t>
      </w:r>
    </w:p>
    <w:p w:rsidR="00000000" w:rsidRPr="00BB2FD0" w:rsidP="00BB2FD0">
      <w:pPr>
        <w:pStyle w:val="Heading1"/>
      </w:pPr>
      <w:bookmarkStart w:id="3" w:name="O_899771"/>
      <w:bookmarkEnd w:id="3"/>
      <w:r w:rsidRPr="00BB2FD0">
        <w:t>Knowledge Evidence</w:t>
      </w:r>
    </w:p>
    <w:p w:rsidR="00000000" w:rsidRPr="00BB2FD0" w:rsidP="006D02DE">
      <w:pPr>
        <w:pStyle w:val="BodyText"/>
      </w:pPr>
      <w:r w:rsidRPr="00BB2FD0">
        <w:t>To be comp</w:t>
      </w:r>
      <w:r w:rsidRPr="00BB2FD0">
        <w:t>etent in this unit, a candidate must demonstrate knowledge of:</w:t>
      </w:r>
    </w:p>
    <w:p w:rsidR="00000000" w:rsidRPr="00BB2FD0" w:rsidP="00BB2FD0">
      <w:pPr>
        <w:pStyle w:val="ListBullet"/>
      </w:pPr>
      <w:r w:rsidRPr="00BB2FD0">
        <w:t>Commonwealth DDA and similar state and territory anti-discrimination legislation and regulations requiring the completion of Action Plans or similar documents:</w:t>
      </w:r>
    </w:p>
    <w:p w:rsidR="00000000" w:rsidRPr="00BB2FD0" w:rsidP="00BB2FD0">
      <w:pPr>
        <w:pStyle w:val="ListBullet2"/>
      </w:pPr>
      <w:r w:rsidRPr="00BB2FD0">
        <w:t>anti-discrimination and disabil</w:t>
      </w:r>
      <w:r w:rsidRPr="00BB2FD0">
        <w:t>ity discrimination</w:t>
      </w:r>
    </w:p>
    <w:p w:rsidR="00000000" w:rsidRPr="00BB2FD0" w:rsidP="00BB2FD0">
      <w:pPr>
        <w:pStyle w:val="ListBullet2"/>
      </w:pPr>
      <w:r w:rsidRPr="00BB2FD0">
        <w:t xml:space="preserve">privacy and confidentiality </w:t>
      </w:r>
    </w:p>
    <w:p w:rsidR="00000000" w:rsidRPr="00BB2FD0" w:rsidP="00BB2FD0">
      <w:pPr>
        <w:pStyle w:val="ListBullet"/>
      </w:pPr>
      <w:r w:rsidRPr="00BB2FD0">
        <w:t>consultation processes</w:t>
      </w:r>
    </w:p>
    <w:p w:rsidR="00000000" w:rsidRPr="00BB2FD0" w:rsidP="00BB2FD0">
      <w:pPr>
        <w:pStyle w:val="ListBullet"/>
      </w:pPr>
      <w:r w:rsidRPr="00BB2FD0">
        <w:t>interpersonal communication strategies used to effectively relate to people from a range of social, cultural and ethnic backgrounds and with a range of physical and cognitive abilities</w:t>
      </w:r>
    </w:p>
    <w:p w:rsidR="00000000" w:rsidRPr="00BB2FD0" w:rsidP="00BB2FD0">
      <w:pPr>
        <w:pStyle w:val="ListBullet"/>
      </w:pPr>
      <w:r w:rsidRPr="00BB2FD0">
        <w:t>principles and techniques associated with:</w:t>
      </w:r>
    </w:p>
    <w:p w:rsidR="00000000" w:rsidRPr="00BB2FD0" w:rsidP="00BB2FD0">
      <w:pPr>
        <w:pStyle w:val="ListBullet2"/>
      </w:pPr>
      <w:r w:rsidRPr="00BB2FD0">
        <w:t>change management</w:t>
      </w:r>
    </w:p>
    <w:p w:rsidR="00000000" w:rsidRPr="00BB2FD0" w:rsidP="00BB2FD0">
      <w:pPr>
        <w:pStyle w:val="ListBullet2"/>
      </w:pPr>
      <w:r w:rsidRPr="00BB2FD0">
        <w:t>coaching</w:t>
      </w:r>
    </w:p>
    <w:p w:rsidR="00000000" w:rsidRPr="00BB2FD0" w:rsidP="00BB2FD0">
      <w:pPr>
        <w:pStyle w:val="ListBullet2"/>
      </w:pPr>
      <w:r w:rsidRPr="00BB2FD0">
        <w:t>communication</w:t>
      </w:r>
    </w:p>
    <w:p w:rsidR="00000000" w:rsidRPr="00BB2FD0" w:rsidP="00BB2FD0">
      <w:pPr>
        <w:pStyle w:val="ListBullet2"/>
      </w:pPr>
      <w:r w:rsidRPr="00BB2FD0">
        <w:t>goal setting</w:t>
      </w:r>
    </w:p>
    <w:p w:rsidR="00000000" w:rsidRPr="00BB2FD0" w:rsidP="00BB2FD0">
      <w:pPr>
        <w:pStyle w:val="ListBullet2"/>
      </w:pPr>
      <w:r w:rsidRPr="00BB2FD0">
        <w:t>group dynamics</w:t>
      </w:r>
    </w:p>
    <w:p w:rsidR="00000000" w:rsidRPr="00BB2FD0" w:rsidP="00BB2FD0">
      <w:pPr>
        <w:pStyle w:val="ListBullet2"/>
      </w:pPr>
      <w:r w:rsidRPr="00BB2FD0">
        <w:t>motivation</w:t>
      </w:r>
    </w:p>
    <w:p w:rsidR="00000000" w:rsidRPr="00BB2FD0" w:rsidP="00BB2FD0">
      <w:pPr>
        <w:pStyle w:val="ListBullet2"/>
      </w:pPr>
      <w:r w:rsidRPr="00BB2FD0">
        <w:t>negotiation</w:t>
      </w:r>
    </w:p>
    <w:p w:rsidR="00000000" w:rsidRPr="00BB2FD0" w:rsidP="00BB2FD0">
      <w:pPr>
        <w:pStyle w:val="ListBullet2"/>
      </w:pPr>
      <w:r w:rsidRPr="00BB2FD0">
        <w:t>planning</w:t>
      </w:r>
    </w:p>
    <w:p w:rsidR="00000000" w:rsidRPr="00BB2FD0" w:rsidP="00BB2FD0">
      <w:pPr>
        <w:pStyle w:val="ListBullet"/>
      </w:pPr>
      <w:r w:rsidRPr="00BB2FD0">
        <w:t xml:space="preserve">processes for developing policies and programs to achieve legislative objectives of the DDA or similar state </w:t>
      </w:r>
      <w:r w:rsidRPr="00BB2FD0">
        <w:t>and territory legislation</w:t>
      </w:r>
    </w:p>
    <w:p w:rsidR="00000000" w:rsidRPr="00BB2FD0" w:rsidP="00BB2FD0">
      <w:pPr>
        <w:pStyle w:val="ListBullet"/>
      </w:pPr>
      <w:r w:rsidRPr="00BB2FD0">
        <w:t>range of presentation formats for conveying information to participants of the Action Plan development process</w:t>
      </w:r>
    </w:p>
    <w:p w:rsidR="00000000" w:rsidRPr="00BB2FD0" w:rsidP="00BB2FD0">
      <w:pPr>
        <w:pStyle w:val="ListBullet"/>
      </w:pPr>
      <w:r w:rsidRPr="00BB2FD0">
        <w:t>types of communication, attitudinal and physical barriers that may impede relationships between clients and customers</w:t>
      </w:r>
    </w:p>
    <w:p w:rsidR="00000000" w:rsidRPr="00BB2FD0" w:rsidP="00BB2FD0">
      <w:pPr>
        <w:pStyle w:val="ListBullet"/>
      </w:pPr>
      <w:r w:rsidRPr="00BB2FD0">
        <w:t>types of disability and limitations that each disability places on an individual’s ability to access the environment</w:t>
      </w:r>
    </w:p>
    <w:p w:rsidR="00000000" w:rsidRPr="00BB2FD0" w:rsidP="00BB2FD0">
      <w:pPr>
        <w:pStyle w:val="ListBullet"/>
      </w:pPr>
      <w:r w:rsidRPr="00BB2FD0">
        <w:t>workplace requirements for facilitating the development of DDA or similar Action Plans:</w:t>
      </w:r>
    </w:p>
    <w:p w:rsidR="00000000" w:rsidRPr="00BB2FD0" w:rsidP="00BB2FD0">
      <w:pPr>
        <w:pStyle w:val="ListBullet2"/>
      </w:pPr>
      <w:r w:rsidRPr="00BB2FD0">
        <w:t>client service</w:t>
      </w:r>
    </w:p>
    <w:p w:rsidR="00000000" w:rsidRPr="00BB2FD0" w:rsidP="00BB2FD0">
      <w:pPr>
        <w:pStyle w:val="ListBullet2"/>
      </w:pPr>
      <w:r w:rsidRPr="00BB2FD0">
        <w:t xml:space="preserve">documentation, reports and records </w:t>
      </w:r>
      <w:r w:rsidRPr="00BB2FD0">
        <w:t>administration</w:t>
      </w:r>
    </w:p>
    <w:p w:rsidR="00000000" w:rsidRPr="00BB2FD0" w:rsidP="00BB2FD0">
      <w:pPr>
        <w:pStyle w:val="ListBullet2"/>
      </w:pPr>
      <w:r w:rsidRPr="00BB2FD0">
        <w:t>Action Plan format and lodgement requirements</w:t>
      </w:r>
    </w:p>
    <w:p w:rsidR="00000000" w:rsidRPr="00BB2FD0" w:rsidP="00BB2FD0">
      <w:pPr>
        <w:pStyle w:val="ListBullet2"/>
      </w:pPr>
      <w:r w:rsidRPr="00BB2FD0">
        <w:t>work role boundaries - responsibilities, limitations and professional abilities.</w:t>
      </w:r>
    </w:p>
    <w:p w:rsidR="00000000" w:rsidRPr="00BB2FD0" w:rsidP="00BB2FD0">
      <w:pPr>
        <w:pStyle w:val="AllowPageBreak"/>
      </w:pPr>
    </w:p>
    <w:p w:rsidR="00000000" w:rsidRPr="00BB2FD0" w:rsidP="00BB2FD0">
      <w:pPr>
        <w:pStyle w:val="Heading1"/>
      </w:pPr>
      <w:bookmarkStart w:id="4" w:name="O_899770"/>
      <w:bookmarkEnd w:id="4"/>
      <w:r w:rsidRPr="00BB2FD0">
        <w:t>Assessment Conditions</w:t>
      </w:r>
    </w:p>
    <w:p w:rsidR="00000000" w:rsidRPr="00BB2FD0" w:rsidP="006D02DE">
      <w:pPr>
        <w:pStyle w:val="BodyText"/>
      </w:pPr>
      <w:r w:rsidRPr="00BB2FD0">
        <w:t>Assessors must meet the requirements for assessors contained in the Standar</w:t>
      </w:r>
      <w:r w:rsidRPr="00BB2FD0">
        <w:t xml:space="preserve">ds for Registered Training Organisations. </w:t>
      </w:r>
    </w:p>
    <w:p w:rsidR="00000000" w:rsidRPr="00BB2FD0" w:rsidP="006D02DE">
      <w:pPr>
        <w:pStyle w:val="BodyText"/>
      </w:pPr>
      <w:r w:rsidRPr="00BB2FD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B2FD0" w:rsidP="006D02DE">
      <w:pPr>
        <w:pStyle w:val="BodyText"/>
      </w:pPr>
      <w:r w:rsidRPr="00BB2FD0">
        <w:t>Candida</w:t>
      </w:r>
      <w:r w:rsidRPr="00BB2FD0">
        <w:t>tes must have access to documentation, information and technologies required to achieve the performance criteria and performance evidence.</w:t>
      </w:r>
    </w:p>
    <w:p w:rsidR="00000000" w:rsidRPr="00BB2FD0" w:rsidP="00BB2FD0">
      <w:pPr>
        <w:pStyle w:val="Heading1"/>
      </w:pPr>
      <w:bookmarkStart w:id="5" w:name="O_899768"/>
      <w:bookmarkEnd w:id="5"/>
      <w:r w:rsidRPr="00BB2FD0">
        <w:t>Links</w:t>
      </w:r>
    </w:p>
    <w:p w:rsidR="00000000" w:rsidRPr="00BB2FD0" w:rsidP="006D02DE">
      <w:pPr>
        <w:pStyle w:val="BodyText"/>
      </w:pPr>
      <w:r w:rsidRPr="00BB2F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60A6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2FD0" w:rsidP="00BB2FD0"/>
    <w:sectPr w:rsidSect="00BB2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D0" w:rsidRPr="006D02DE" w:rsidP="006D0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DE" w:rsidP="00BB2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2DE" w:rsidP="00BB2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D02DE" w:rsidP="00BB2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FD0" w:rsidRPr="006D02DE" w:rsidP="006D0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DE" w:rsidRPr="002D2AF8" w:rsidP="00BB2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CPPACC4014 Facilitate the development of DDA Action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02DE" w:rsidP="00BB2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4E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E6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C9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FD0"/>
  </w:style>
  <w:style w:type="character" w:customStyle="1" w:styleId="Heading1Char">
    <w:name w:val="Heading 1 Char"/>
    <w:basedOn w:val="DefaultParagraphFont"/>
    <w:link w:val="Heading1"/>
    <w:rsid w:val="00BB2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F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F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FD0"/>
    <w:rPr>
      <w:i/>
    </w:rPr>
  </w:style>
  <w:style w:type="paragraph" w:customStyle="1" w:styleId="SuperHeading">
    <w:name w:val="SuperHeading"/>
    <w:basedOn w:val="Normal"/>
    <w:rsid w:val="00BB2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FD0"/>
    <w:rPr>
      <w:b/>
      <w:spacing w:val="0"/>
    </w:rPr>
  </w:style>
  <w:style w:type="paragraph" w:customStyle="1" w:styleId="SuperTitle">
    <w:name w:val="SuperTitle"/>
    <w:basedOn w:val="Title"/>
    <w:rsid w:val="00BB2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F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FD0"/>
  </w:style>
  <w:style w:type="paragraph" w:styleId="TableofFigures">
    <w:name w:val="table of figures"/>
    <w:basedOn w:val="Normal"/>
    <w:next w:val="Normal"/>
    <w:semiHidden/>
    <w:rsid w:val="00BB2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FD0"/>
    <w:rPr>
      <w:rFonts w:ascii="Wingdings" w:hAnsi="Wingdings"/>
    </w:rPr>
  </w:style>
  <w:style w:type="paragraph" w:customStyle="1" w:styleId="TableHeading">
    <w:name w:val="Table Heading"/>
    <w:basedOn w:val="HeadingBase"/>
    <w:rsid w:val="00BB2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FD0"/>
    <w:rPr>
      <w:color w:val="0033CC"/>
      <w:u w:val="none"/>
    </w:rPr>
  </w:style>
  <w:style w:type="paragraph" w:customStyle="1" w:styleId="BodyTextRight">
    <w:name w:val="Body Text Right"/>
    <w:basedOn w:val="BodyText"/>
    <w:rsid w:val="00BB2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FD0"/>
    <w:rPr>
      <w:sz w:val="32"/>
    </w:rPr>
  </w:style>
  <w:style w:type="paragraph" w:customStyle="1" w:styleId="HeadingProcedure">
    <w:name w:val="Heading Procedure"/>
    <w:basedOn w:val="HeadingBase"/>
    <w:next w:val="Normal"/>
    <w:rsid w:val="00BB2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FD0"/>
    <w:pPr>
      <w:spacing w:before="60" w:after="60"/>
    </w:pPr>
  </w:style>
  <w:style w:type="paragraph" w:styleId="ListContinue">
    <w:name w:val="List Continue"/>
    <w:basedOn w:val="List"/>
    <w:rsid w:val="00BB2FD0"/>
    <w:pPr>
      <w:ind w:firstLine="0"/>
    </w:pPr>
  </w:style>
  <w:style w:type="paragraph" w:customStyle="1" w:styleId="ListNote">
    <w:name w:val="List Note"/>
    <w:basedOn w:val="List"/>
    <w:rsid w:val="00BB2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FD0"/>
    <w:rPr>
      <w:rFonts w:ascii="Courier New" w:hAnsi="Courier New"/>
    </w:rPr>
  </w:style>
  <w:style w:type="paragraph" w:customStyle="1" w:styleId="NoteBullet">
    <w:name w:val="Note Bullet"/>
    <w:basedOn w:val="Note"/>
    <w:rsid w:val="00BB2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FD0"/>
    <w:rPr>
      <w:b/>
      <w:smallCaps/>
    </w:rPr>
  </w:style>
  <w:style w:type="paragraph" w:customStyle="1" w:styleId="TableListNumber">
    <w:name w:val="Table List Number"/>
    <w:basedOn w:val="ListNumber"/>
    <w:rsid w:val="00BB2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FD0"/>
    <w:pPr>
      <w:numPr>
        <w:numId w:val="9"/>
      </w:numPr>
    </w:pPr>
  </w:style>
  <w:style w:type="paragraph" w:customStyle="1" w:styleId="ListAlpha2">
    <w:name w:val="List Alpha 2"/>
    <w:basedOn w:val="List2"/>
    <w:rsid w:val="00BB2FD0"/>
    <w:pPr>
      <w:numPr>
        <w:numId w:val="8"/>
      </w:numPr>
    </w:pPr>
  </w:style>
  <w:style w:type="paragraph" w:styleId="List2">
    <w:name w:val="List 2"/>
    <w:basedOn w:val="BodyText"/>
    <w:rsid w:val="00BB2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FD0"/>
    <w:pPr>
      <w:numPr>
        <w:numId w:val="4"/>
      </w:numPr>
    </w:pPr>
  </w:style>
  <w:style w:type="paragraph" w:styleId="ListContinue2">
    <w:name w:val="List Continue 2"/>
    <w:basedOn w:val="List2"/>
    <w:rsid w:val="00BB2FD0"/>
    <w:pPr>
      <w:ind w:firstLine="0"/>
    </w:pPr>
  </w:style>
  <w:style w:type="paragraph" w:styleId="ListContinue3">
    <w:name w:val="List Continue 3"/>
    <w:basedOn w:val="List3"/>
    <w:rsid w:val="00BB2FD0"/>
    <w:pPr>
      <w:ind w:left="1021" w:firstLine="0"/>
    </w:pPr>
  </w:style>
  <w:style w:type="paragraph" w:styleId="ListContinue4">
    <w:name w:val="List Continue 4"/>
    <w:basedOn w:val="List4"/>
    <w:rsid w:val="00BB2FD0"/>
    <w:pPr>
      <w:ind w:firstLine="0"/>
    </w:pPr>
  </w:style>
  <w:style w:type="paragraph" w:styleId="ListContinue5">
    <w:name w:val="List Continue 5"/>
    <w:basedOn w:val="List5"/>
    <w:rsid w:val="00BB2FD0"/>
    <w:pPr>
      <w:ind w:firstLine="0"/>
    </w:pPr>
  </w:style>
  <w:style w:type="paragraph" w:styleId="ListNumber3">
    <w:name w:val="List Number 3"/>
    <w:basedOn w:val="List3"/>
    <w:rsid w:val="00BB2FD0"/>
    <w:pPr>
      <w:numPr>
        <w:numId w:val="5"/>
      </w:numPr>
    </w:pPr>
  </w:style>
  <w:style w:type="paragraph" w:styleId="ListNumber4">
    <w:name w:val="List Number 4"/>
    <w:basedOn w:val="List4"/>
    <w:rsid w:val="00BB2FD0"/>
    <w:pPr>
      <w:numPr>
        <w:numId w:val="6"/>
      </w:numPr>
    </w:pPr>
  </w:style>
  <w:style w:type="paragraph" w:styleId="ListNumber5">
    <w:name w:val="List Number 5"/>
    <w:basedOn w:val="List5"/>
    <w:rsid w:val="00BB2FD0"/>
    <w:pPr>
      <w:numPr>
        <w:numId w:val="7"/>
      </w:numPr>
    </w:pPr>
  </w:style>
  <w:style w:type="paragraph" w:styleId="BlockText">
    <w:name w:val="Block Text"/>
    <w:basedOn w:val="Normal"/>
    <w:rsid w:val="00BB2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FD0"/>
    <w:rPr>
      <w:sz w:val="16"/>
      <w:vertAlign w:val="superscript"/>
    </w:rPr>
  </w:style>
  <w:style w:type="character" w:customStyle="1" w:styleId="Symbols">
    <w:name w:val="Symbols"/>
    <w:basedOn w:val="DefaultParagraphFont"/>
    <w:rsid w:val="00BB2FD0"/>
    <w:rPr>
      <w:rFonts w:ascii="Symbol" w:hAnsi="Symbol"/>
    </w:rPr>
  </w:style>
  <w:style w:type="character" w:customStyle="1" w:styleId="MenuOptions">
    <w:name w:val="Menu Options"/>
    <w:basedOn w:val="DefaultParagraphFont"/>
    <w:rsid w:val="00BB2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FD0"/>
    <w:rPr>
      <w:b/>
    </w:rPr>
  </w:style>
  <w:style w:type="character" w:customStyle="1" w:styleId="Underlined">
    <w:name w:val="Underlined"/>
    <w:basedOn w:val="DefaultParagraphFont"/>
    <w:rsid w:val="00BB2FD0"/>
    <w:rPr>
      <w:u w:val="single"/>
    </w:rPr>
  </w:style>
  <w:style w:type="paragraph" w:customStyle="1" w:styleId="TableBodyTextRight">
    <w:name w:val="Table Body Text Right"/>
    <w:basedOn w:val="TableBodyText"/>
    <w:rsid w:val="00BB2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FD0"/>
    <w:rPr>
      <w:sz w:val="18"/>
    </w:rPr>
  </w:style>
  <w:style w:type="paragraph" w:customStyle="1" w:styleId="BodySmallRight">
    <w:name w:val="Body Small Right"/>
    <w:basedOn w:val="BodyTextRight"/>
    <w:rsid w:val="00BB2FD0"/>
    <w:rPr>
      <w:sz w:val="18"/>
      <w:szCs w:val="18"/>
    </w:rPr>
  </w:style>
  <w:style w:type="paragraph" w:customStyle="1" w:styleId="MarginEdition">
    <w:name w:val="Margin Edition"/>
    <w:basedOn w:val="MarginNote"/>
    <w:rsid w:val="00BB2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FD0"/>
    <w:rPr>
      <w:sz w:val="2"/>
      <w:szCs w:val="2"/>
    </w:rPr>
  </w:style>
  <w:style w:type="character" w:customStyle="1" w:styleId="Small">
    <w:name w:val="Small"/>
    <w:basedOn w:val="DefaultParagraphFont"/>
    <w:rsid w:val="00BB2FD0"/>
    <w:rPr>
      <w:sz w:val="16"/>
    </w:rPr>
  </w:style>
  <w:style w:type="paragraph" w:customStyle="1" w:styleId="WideTable">
    <w:name w:val="Wide Table"/>
    <w:basedOn w:val="Normal"/>
    <w:rsid w:val="00BB2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FD0"/>
  </w:style>
  <w:style w:type="paragraph" w:styleId="Quote">
    <w:name w:val="Quote"/>
    <w:basedOn w:val="Heading1"/>
    <w:link w:val="QuoteChar"/>
    <w:qFormat/>
    <w:rsid w:val="00BB2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FD0"/>
    <w:pPr>
      <w:pageBreakBefore/>
    </w:pPr>
  </w:style>
  <w:style w:type="paragraph" w:customStyle="1" w:styleId="Border">
    <w:name w:val="Border"/>
    <w:basedOn w:val="Normal"/>
    <w:qFormat/>
    <w:rsid w:val="00BB2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FD0"/>
    <w:rPr>
      <w:u w:val="single"/>
    </w:rPr>
  </w:style>
  <w:style w:type="character" w:customStyle="1" w:styleId="BoldandItalics">
    <w:name w:val="Bold and Italics"/>
    <w:qFormat/>
    <w:rsid w:val="00BB2FD0"/>
    <w:rPr>
      <w:b/>
      <w:i/>
      <w:u w:val="none"/>
    </w:rPr>
  </w:style>
  <w:style w:type="paragraph" w:styleId="BalloonText">
    <w:name w:val="Balloon Text"/>
    <w:basedOn w:val="Normal"/>
    <w:link w:val="BalloonTextChar"/>
    <w:rsid w:val="00BB2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FD0"/>
    <w:pPr>
      <w:spacing w:before="0" w:after="0"/>
    </w:pPr>
  </w:style>
  <w:style w:type="paragraph" w:customStyle="1" w:styleId="BodyTextBold">
    <w:name w:val="Body Text Bold"/>
    <w:basedOn w:val="BodyText"/>
    <w:qFormat/>
    <w:rsid w:val="00BB2FD0"/>
    <w:rPr>
      <w:b/>
    </w:rPr>
  </w:style>
  <w:style w:type="character" w:styleId="Hyperlink">
    <w:name w:val="Hyperlink"/>
    <w:basedOn w:val="DefaultParagraphFont"/>
    <w:uiPriority w:val="99"/>
    <w:unhideWhenUsed/>
    <w:rsid w:val="006D0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2628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CPPACC4014 Facilitate the development of DDA Action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